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BBA5A" w14:textId="1EB211FF" w:rsidR="00E07DE5" w:rsidRPr="00CC2BE2" w:rsidRDefault="00476508" w:rsidP="00CC2BE2">
      <w:pPr>
        <w:pStyle w:val="Heading1"/>
        <w:rPr>
          <w:b w:val="0"/>
        </w:rPr>
      </w:pPr>
      <w:bookmarkStart w:id="0" w:name="_GoBack"/>
      <w:bookmarkEnd w:id="0"/>
      <w:r>
        <w:rPr>
          <w:b w:val="0"/>
          <w:bCs/>
        </w:rPr>
        <w:t xml:space="preserve">Supplementary </w:t>
      </w:r>
      <w:r w:rsidR="00723608">
        <w:rPr>
          <w:b w:val="0"/>
          <w:bCs/>
        </w:rPr>
        <w:t xml:space="preserve">analysis </w:t>
      </w:r>
      <w:r>
        <w:rPr>
          <w:b w:val="0"/>
          <w:bCs/>
        </w:rPr>
        <w:t xml:space="preserve">for </w:t>
      </w:r>
      <w:r w:rsidR="00DE316C">
        <w:rPr>
          <w:b w:val="0"/>
          <w:bCs/>
        </w:rPr>
        <w:t>Critical Telecommunications Assets</w:t>
      </w:r>
      <w:r>
        <w:rPr>
          <w:b w:val="0"/>
          <w:bCs/>
        </w:rPr>
        <w:t xml:space="preserve"> </w:t>
      </w:r>
      <w:r w:rsidR="00E53F86" w:rsidRPr="00AB56BC">
        <w:rPr>
          <w:b w:val="0"/>
          <w:bCs/>
        </w:rPr>
        <w:t xml:space="preserve"> </w:t>
      </w:r>
    </w:p>
    <w:p w14:paraId="56294336" w14:textId="77777777" w:rsidR="00E214DA" w:rsidRDefault="00E214DA" w:rsidP="00CC2BE2">
      <w:pPr>
        <w:pStyle w:val="Heading2"/>
        <w:spacing w:after="0"/>
      </w:pPr>
    </w:p>
    <w:p w14:paraId="316185C1" w14:textId="5F0822BB" w:rsidR="00E53F86" w:rsidRPr="000D4FEF" w:rsidRDefault="00E53F86" w:rsidP="00CC2BE2">
      <w:pPr>
        <w:pStyle w:val="Heading2"/>
        <w:spacing w:after="0"/>
      </w:pPr>
      <w:r w:rsidRPr="000D4FEF">
        <w:t>Overview of the</w:t>
      </w:r>
      <w:r w:rsidR="00657B48" w:rsidRPr="000D4FEF">
        <w:t xml:space="preserve"> r</w:t>
      </w:r>
      <w:r w:rsidRPr="000D4FEF">
        <w:t xml:space="preserve">ole of </w:t>
      </w:r>
      <w:r w:rsidR="00657B48" w:rsidRPr="000D4FEF">
        <w:t>t</w:t>
      </w:r>
      <w:r w:rsidRPr="000D4FEF">
        <w:t>elecommunications in Australia</w:t>
      </w:r>
    </w:p>
    <w:p w14:paraId="551E4722" w14:textId="3980A3E6" w:rsidR="00517625" w:rsidRDefault="000C0B3B" w:rsidP="5E142495">
      <w:pPr>
        <w:rPr>
          <w:rFonts w:ascii="Arial" w:hAnsi="Arial" w:cs="Arial"/>
          <w:sz w:val="20"/>
          <w:szCs w:val="20"/>
        </w:rPr>
      </w:pPr>
      <w:r w:rsidRPr="5E142495">
        <w:rPr>
          <w:rFonts w:ascii="Arial" w:hAnsi="Arial" w:cs="Arial"/>
          <w:sz w:val="20"/>
          <w:szCs w:val="20"/>
        </w:rPr>
        <w:t>Telecommunications assets are central to social and economic activity in Australia</w:t>
      </w:r>
      <w:r w:rsidR="00706E96" w:rsidRPr="5E142495">
        <w:rPr>
          <w:rFonts w:ascii="Arial" w:hAnsi="Arial" w:cs="Arial"/>
          <w:sz w:val="20"/>
          <w:szCs w:val="20"/>
        </w:rPr>
        <w:t>.</w:t>
      </w:r>
      <w:r w:rsidR="00250411" w:rsidRPr="5E142495">
        <w:rPr>
          <w:rStyle w:val="FootnoteReference"/>
          <w:rFonts w:ascii="Arial" w:hAnsi="Arial" w:cs="Arial"/>
          <w:sz w:val="20"/>
          <w:szCs w:val="20"/>
        </w:rPr>
        <w:footnoteReference w:id="2"/>
      </w:r>
      <w:r w:rsidR="00706E96" w:rsidRPr="5E142495">
        <w:rPr>
          <w:rStyle w:val="FootnoteReference"/>
          <w:rFonts w:ascii="Arial" w:hAnsi="Arial" w:cs="Arial"/>
          <w:sz w:val="20"/>
          <w:szCs w:val="20"/>
        </w:rPr>
        <w:t xml:space="preserve"> </w:t>
      </w:r>
      <w:r w:rsidR="00706E96" w:rsidRPr="5E142495">
        <w:rPr>
          <w:rFonts w:ascii="Arial" w:hAnsi="Arial" w:cs="Arial"/>
          <w:sz w:val="20"/>
          <w:szCs w:val="20"/>
        </w:rPr>
        <w:t xml:space="preserve"> I</w:t>
      </w:r>
      <w:r w:rsidRPr="5E142495">
        <w:rPr>
          <w:rFonts w:ascii="Arial" w:hAnsi="Arial" w:cs="Arial"/>
          <w:sz w:val="20"/>
          <w:szCs w:val="20"/>
        </w:rPr>
        <w:t xml:space="preserve">ndustry, government and individuals </w:t>
      </w:r>
      <w:r w:rsidR="00364334" w:rsidRPr="5E142495">
        <w:rPr>
          <w:rFonts w:ascii="Arial" w:hAnsi="Arial" w:cs="Arial"/>
          <w:sz w:val="20"/>
          <w:szCs w:val="20"/>
        </w:rPr>
        <w:t>make daily use of services enabled by telecommunications networks and related assets</w:t>
      </w:r>
      <w:r w:rsidR="00B57DD2" w:rsidRPr="5E142495">
        <w:rPr>
          <w:rFonts w:ascii="Arial" w:hAnsi="Arial" w:cs="Arial"/>
          <w:sz w:val="20"/>
          <w:szCs w:val="20"/>
        </w:rPr>
        <w:t>, which involve the electronic transmission of data and information between users</w:t>
      </w:r>
      <w:r w:rsidR="00364334" w:rsidRPr="5E142495">
        <w:rPr>
          <w:rFonts w:ascii="Arial" w:hAnsi="Arial" w:cs="Arial"/>
          <w:sz w:val="20"/>
          <w:szCs w:val="20"/>
        </w:rPr>
        <w:t xml:space="preserve">. </w:t>
      </w:r>
      <w:r w:rsidR="00364334" w:rsidRPr="5E142495" w:rsidDel="00187915">
        <w:rPr>
          <w:rFonts w:ascii="Arial" w:hAnsi="Arial" w:cs="Arial"/>
          <w:sz w:val="20"/>
          <w:szCs w:val="20"/>
        </w:rPr>
        <w:t xml:space="preserve">Telecommunications </w:t>
      </w:r>
      <w:r w:rsidR="00364334" w:rsidRPr="5E142495">
        <w:rPr>
          <w:rFonts w:ascii="Arial" w:hAnsi="Arial" w:cs="Arial"/>
          <w:sz w:val="20"/>
          <w:szCs w:val="20"/>
        </w:rPr>
        <w:t xml:space="preserve">assets </w:t>
      </w:r>
      <w:r w:rsidR="3F1F0243" w:rsidRPr="5E142495">
        <w:rPr>
          <w:rFonts w:ascii="Arial" w:hAnsi="Arial" w:cs="Arial"/>
          <w:sz w:val="20"/>
          <w:szCs w:val="20"/>
        </w:rPr>
        <w:t>are relied on and share interdependencies with all critical infrastructure sectors and are particularly important to:</w:t>
      </w:r>
    </w:p>
    <w:p w14:paraId="5D40C728" w14:textId="6D15E671" w:rsidR="00517625" w:rsidRDefault="00517625" w:rsidP="00EF0B5B">
      <w:pPr>
        <w:pStyle w:val="ListParagraph"/>
        <w:numPr>
          <w:ilvl w:val="0"/>
          <w:numId w:val="38"/>
        </w:numPr>
        <w:tabs>
          <w:tab w:val="num" w:pos="1597"/>
        </w:tabs>
        <w:rPr>
          <w:rFonts w:ascii="Arial" w:hAnsi="Arial" w:cs="Arial"/>
          <w:sz w:val="20"/>
          <w:szCs w:val="20"/>
        </w:rPr>
      </w:pPr>
      <w:r>
        <w:rPr>
          <w:rFonts w:ascii="Arial" w:hAnsi="Arial" w:cs="Arial"/>
          <w:sz w:val="20"/>
          <w:szCs w:val="20"/>
        </w:rPr>
        <w:t>b</w:t>
      </w:r>
      <w:r w:rsidR="00364334" w:rsidRPr="0079597C">
        <w:rPr>
          <w:rFonts w:ascii="Arial" w:hAnsi="Arial" w:cs="Arial"/>
          <w:sz w:val="20"/>
          <w:szCs w:val="20"/>
        </w:rPr>
        <w:t>anking</w:t>
      </w:r>
      <w:r w:rsidR="00364334" w:rsidRPr="00C1540B">
        <w:rPr>
          <w:rFonts w:ascii="Arial" w:hAnsi="Arial" w:cs="Arial"/>
          <w:sz w:val="20"/>
          <w:szCs w:val="20"/>
        </w:rPr>
        <w:t xml:space="preserve"> and finance</w:t>
      </w:r>
      <w:r>
        <w:rPr>
          <w:rFonts w:ascii="Arial" w:hAnsi="Arial" w:cs="Arial"/>
          <w:sz w:val="20"/>
          <w:szCs w:val="20"/>
        </w:rPr>
        <w:t>;</w:t>
      </w:r>
    </w:p>
    <w:p w14:paraId="1F530226" w14:textId="16293B4E" w:rsidR="00517625" w:rsidRDefault="00364334" w:rsidP="00AF56F0">
      <w:pPr>
        <w:pStyle w:val="ListParagraph"/>
        <w:numPr>
          <w:ilvl w:val="0"/>
          <w:numId w:val="38"/>
        </w:numPr>
        <w:tabs>
          <w:tab w:val="num" w:pos="1597"/>
        </w:tabs>
        <w:rPr>
          <w:rFonts w:ascii="Arial" w:hAnsi="Arial" w:cs="Arial"/>
          <w:sz w:val="20"/>
          <w:szCs w:val="20"/>
        </w:rPr>
      </w:pPr>
      <w:r w:rsidRPr="5F4A6261">
        <w:rPr>
          <w:rFonts w:ascii="Arial" w:hAnsi="Arial" w:cs="Arial"/>
          <w:sz w:val="20"/>
          <w:szCs w:val="20"/>
        </w:rPr>
        <w:t>healthcare</w:t>
      </w:r>
      <w:r w:rsidR="00517625" w:rsidRPr="5F4A6261">
        <w:rPr>
          <w:rFonts w:ascii="Arial" w:hAnsi="Arial" w:cs="Arial"/>
          <w:sz w:val="20"/>
          <w:szCs w:val="20"/>
        </w:rPr>
        <w:t>;</w:t>
      </w:r>
    </w:p>
    <w:p w14:paraId="27E21CF4" w14:textId="26AE23A9" w:rsidR="00517625" w:rsidRDefault="00517625" w:rsidP="5E142495">
      <w:pPr>
        <w:pStyle w:val="ListParagraph"/>
        <w:numPr>
          <w:ilvl w:val="0"/>
          <w:numId w:val="38"/>
        </w:numPr>
        <w:tabs>
          <w:tab w:val="num" w:pos="1597"/>
        </w:tabs>
        <w:rPr>
          <w:rFonts w:ascii="Arial" w:hAnsi="Arial" w:cs="Arial"/>
          <w:sz w:val="20"/>
          <w:szCs w:val="20"/>
        </w:rPr>
      </w:pPr>
      <w:r w:rsidRPr="5E142495">
        <w:rPr>
          <w:rFonts w:ascii="Arial" w:hAnsi="Arial" w:cs="Arial"/>
          <w:sz w:val="20"/>
          <w:szCs w:val="20"/>
        </w:rPr>
        <w:t>l</w:t>
      </w:r>
      <w:r w:rsidR="00364334" w:rsidRPr="5E142495">
        <w:rPr>
          <w:rFonts w:ascii="Arial" w:hAnsi="Arial" w:cs="Arial"/>
          <w:sz w:val="20"/>
          <w:szCs w:val="20"/>
        </w:rPr>
        <w:t>ogistics</w:t>
      </w:r>
      <w:r w:rsidRPr="5E142495">
        <w:rPr>
          <w:rFonts w:ascii="Arial" w:hAnsi="Arial" w:cs="Arial"/>
          <w:sz w:val="20"/>
          <w:szCs w:val="20"/>
        </w:rPr>
        <w:t>;</w:t>
      </w:r>
    </w:p>
    <w:p w14:paraId="435975D4" w14:textId="019ACFC8" w:rsidR="00517625" w:rsidRDefault="00364334" w:rsidP="00AF56F0">
      <w:pPr>
        <w:pStyle w:val="ListParagraph"/>
        <w:numPr>
          <w:ilvl w:val="0"/>
          <w:numId w:val="38"/>
        </w:numPr>
        <w:tabs>
          <w:tab w:val="num" w:pos="1597"/>
        </w:tabs>
        <w:rPr>
          <w:rFonts w:ascii="Arial" w:hAnsi="Arial" w:cs="Arial"/>
          <w:sz w:val="20"/>
          <w:szCs w:val="20"/>
        </w:rPr>
      </w:pPr>
      <w:r w:rsidRPr="00C1540B">
        <w:rPr>
          <w:rFonts w:ascii="Arial" w:hAnsi="Arial" w:cs="Arial"/>
          <w:sz w:val="20"/>
          <w:szCs w:val="20"/>
        </w:rPr>
        <w:t>energy transmission</w:t>
      </w:r>
      <w:r w:rsidR="00517625">
        <w:rPr>
          <w:rFonts w:ascii="Arial" w:hAnsi="Arial" w:cs="Arial"/>
          <w:sz w:val="20"/>
          <w:szCs w:val="20"/>
        </w:rPr>
        <w:t>; and</w:t>
      </w:r>
    </w:p>
    <w:p w14:paraId="12186D01" w14:textId="499514EB" w:rsidR="00517625" w:rsidRDefault="00364334" w:rsidP="00AF56F0">
      <w:pPr>
        <w:pStyle w:val="ListParagraph"/>
        <w:numPr>
          <w:ilvl w:val="0"/>
          <w:numId w:val="38"/>
        </w:numPr>
        <w:tabs>
          <w:tab w:val="num" w:pos="1597"/>
        </w:tabs>
        <w:rPr>
          <w:rFonts w:ascii="Arial" w:hAnsi="Arial" w:cs="Arial"/>
          <w:sz w:val="20"/>
          <w:szCs w:val="20"/>
        </w:rPr>
      </w:pPr>
      <w:proofErr w:type="gramStart"/>
      <w:r w:rsidRPr="00C1540B">
        <w:rPr>
          <w:rFonts w:ascii="Arial" w:hAnsi="Arial" w:cs="Arial"/>
          <w:sz w:val="20"/>
          <w:szCs w:val="20"/>
        </w:rPr>
        <w:t>government</w:t>
      </w:r>
      <w:proofErr w:type="gramEnd"/>
      <w:r w:rsidRPr="00C1540B">
        <w:rPr>
          <w:rFonts w:ascii="Arial" w:hAnsi="Arial" w:cs="Arial"/>
          <w:sz w:val="20"/>
          <w:szCs w:val="20"/>
        </w:rPr>
        <w:t xml:space="preserve"> and defence </w:t>
      </w:r>
      <w:r w:rsidR="00517625">
        <w:rPr>
          <w:rFonts w:ascii="Arial" w:hAnsi="Arial" w:cs="Arial"/>
          <w:sz w:val="20"/>
          <w:szCs w:val="20"/>
        </w:rPr>
        <w:t xml:space="preserve">activities, including </w:t>
      </w:r>
      <w:r w:rsidRPr="00C1540B">
        <w:rPr>
          <w:rFonts w:ascii="Arial" w:hAnsi="Arial" w:cs="Arial"/>
          <w:sz w:val="20"/>
          <w:szCs w:val="20"/>
        </w:rPr>
        <w:t xml:space="preserve">disaster </w:t>
      </w:r>
      <w:r w:rsidRPr="0079597C">
        <w:rPr>
          <w:rFonts w:ascii="Arial" w:hAnsi="Arial" w:cs="Arial"/>
          <w:sz w:val="20"/>
          <w:szCs w:val="20"/>
        </w:rPr>
        <w:t>response</w:t>
      </w:r>
      <w:r w:rsidR="00517625">
        <w:rPr>
          <w:rFonts w:ascii="Arial" w:hAnsi="Arial" w:cs="Arial"/>
          <w:sz w:val="20"/>
          <w:szCs w:val="20"/>
        </w:rPr>
        <w:t>s</w:t>
      </w:r>
      <w:r w:rsidRPr="0079597C">
        <w:rPr>
          <w:rFonts w:ascii="Arial" w:hAnsi="Arial" w:cs="Arial"/>
          <w:sz w:val="20"/>
          <w:szCs w:val="20"/>
        </w:rPr>
        <w:t>.</w:t>
      </w:r>
      <w:r w:rsidR="000F4B72" w:rsidRPr="0079597C">
        <w:rPr>
          <w:rFonts w:ascii="Arial" w:hAnsi="Arial" w:cs="Arial"/>
          <w:sz w:val="20"/>
          <w:szCs w:val="20"/>
        </w:rPr>
        <w:t xml:space="preserve"> </w:t>
      </w:r>
    </w:p>
    <w:p w14:paraId="0A65B7A2" w14:textId="55405D30" w:rsidR="00B67620" w:rsidRPr="00306021" w:rsidRDefault="000F4B72" w:rsidP="5E142495">
      <w:pPr>
        <w:tabs>
          <w:tab w:val="num" w:pos="1597"/>
        </w:tabs>
        <w:rPr>
          <w:rFonts w:ascii="Arial" w:hAnsi="Arial" w:cs="Arial"/>
          <w:sz w:val="20"/>
          <w:szCs w:val="20"/>
        </w:rPr>
      </w:pPr>
      <w:r w:rsidRPr="5E142495">
        <w:rPr>
          <w:rFonts w:ascii="Arial" w:hAnsi="Arial" w:cs="Arial"/>
          <w:sz w:val="20"/>
          <w:szCs w:val="20"/>
        </w:rPr>
        <w:t xml:space="preserve">The </w:t>
      </w:r>
      <w:r w:rsidR="00C37065" w:rsidRPr="5E142495">
        <w:rPr>
          <w:rFonts w:ascii="Arial" w:hAnsi="Arial" w:cs="Arial"/>
          <w:sz w:val="20"/>
          <w:szCs w:val="20"/>
        </w:rPr>
        <w:t>COVID</w:t>
      </w:r>
      <w:r w:rsidR="00517625" w:rsidRPr="5E142495">
        <w:rPr>
          <w:rFonts w:ascii="Arial" w:hAnsi="Arial" w:cs="Arial"/>
          <w:sz w:val="20"/>
          <w:szCs w:val="20"/>
        </w:rPr>
        <w:t xml:space="preserve">-19 </w:t>
      </w:r>
      <w:r w:rsidRPr="5E142495">
        <w:rPr>
          <w:rFonts w:ascii="Arial" w:hAnsi="Arial" w:cs="Arial"/>
          <w:sz w:val="20"/>
          <w:szCs w:val="20"/>
        </w:rPr>
        <w:t xml:space="preserve">pandemic and an increasing </w:t>
      </w:r>
      <w:r w:rsidR="000928EA" w:rsidRPr="5E142495">
        <w:rPr>
          <w:rFonts w:ascii="Arial" w:hAnsi="Arial" w:cs="Arial"/>
          <w:sz w:val="20"/>
          <w:szCs w:val="20"/>
        </w:rPr>
        <w:t xml:space="preserve">occurrence </w:t>
      </w:r>
      <w:r w:rsidRPr="5E142495">
        <w:rPr>
          <w:rFonts w:ascii="Arial" w:hAnsi="Arial" w:cs="Arial"/>
          <w:sz w:val="20"/>
          <w:szCs w:val="20"/>
        </w:rPr>
        <w:t xml:space="preserve">of significant natural disasters </w:t>
      </w:r>
      <w:r w:rsidR="00517625" w:rsidRPr="5E142495">
        <w:rPr>
          <w:rFonts w:ascii="Arial" w:hAnsi="Arial" w:cs="Arial"/>
          <w:sz w:val="20"/>
          <w:szCs w:val="20"/>
        </w:rPr>
        <w:t xml:space="preserve">have </w:t>
      </w:r>
      <w:r w:rsidRPr="5E142495">
        <w:rPr>
          <w:rFonts w:ascii="Arial" w:hAnsi="Arial" w:cs="Arial"/>
          <w:sz w:val="20"/>
          <w:szCs w:val="20"/>
        </w:rPr>
        <w:t>reaffirm</w:t>
      </w:r>
      <w:r w:rsidR="00517625" w:rsidRPr="5E142495">
        <w:rPr>
          <w:rFonts w:ascii="Arial" w:hAnsi="Arial" w:cs="Arial"/>
          <w:sz w:val="20"/>
          <w:szCs w:val="20"/>
        </w:rPr>
        <w:t>ed</w:t>
      </w:r>
      <w:r w:rsidRPr="5E142495">
        <w:rPr>
          <w:rFonts w:ascii="Arial" w:hAnsi="Arial" w:cs="Arial"/>
          <w:sz w:val="20"/>
          <w:szCs w:val="20"/>
        </w:rPr>
        <w:t xml:space="preserve"> the </w:t>
      </w:r>
      <w:r w:rsidR="00517625" w:rsidRPr="5E142495">
        <w:rPr>
          <w:rFonts w:ascii="Arial" w:hAnsi="Arial" w:cs="Arial"/>
          <w:sz w:val="20"/>
          <w:szCs w:val="20"/>
        </w:rPr>
        <w:t xml:space="preserve">importance of reliable </w:t>
      </w:r>
      <w:r w:rsidRPr="5E142495">
        <w:rPr>
          <w:rFonts w:ascii="Arial" w:hAnsi="Arial" w:cs="Arial"/>
          <w:sz w:val="20"/>
          <w:szCs w:val="20"/>
        </w:rPr>
        <w:t>telecommunications assets.</w:t>
      </w:r>
      <w:r w:rsidR="6D3460B6" w:rsidRPr="5E142495">
        <w:rPr>
          <w:rFonts w:ascii="Arial" w:hAnsi="Arial" w:cs="Arial"/>
          <w:sz w:val="20"/>
          <w:szCs w:val="20"/>
        </w:rPr>
        <w:t xml:space="preserve"> Disruptions, including by sabotage, causes significant impacts on reliant critical services and end-users.</w:t>
      </w:r>
      <w:r w:rsidRPr="5E142495">
        <w:rPr>
          <w:rFonts w:ascii="Arial" w:hAnsi="Arial" w:cs="Arial"/>
          <w:sz w:val="20"/>
          <w:szCs w:val="20"/>
        </w:rPr>
        <w:t xml:space="preserve"> </w:t>
      </w:r>
      <w:r w:rsidR="1FCDBA05" w:rsidRPr="5E142495">
        <w:rPr>
          <w:rFonts w:ascii="Arial" w:hAnsi="Arial" w:cs="Arial"/>
          <w:sz w:val="20"/>
          <w:szCs w:val="20"/>
        </w:rPr>
        <w:t>Further, telecommunications assets store and transmit highly sensitive Australian data, making them a primary target for espionage activities.</w:t>
      </w:r>
    </w:p>
    <w:p w14:paraId="7449BAFB" w14:textId="40D6424B" w:rsidR="00C26B82" w:rsidRPr="000D4FEF" w:rsidRDefault="00E53F86" w:rsidP="00852FA3">
      <w:pPr>
        <w:pStyle w:val="Heading2"/>
        <w:spacing w:after="0"/>
      </w:pPr>
      <w:r w:rsidRPr="5E142495">
        <w:t xml:space="preserve">Impacts of a </w:t>
      </w:r>
      <w:r w:rsidR="00657B48" w:rsidRPr="5E142495">
        <w:t>d</w:t>
      </w:r>
      <w:r w:rsidRPr="5E142495">
        <w:t xml:space="preserve">isruption to </w:t>
      </w:r>
      <w:r w:rsidR="00657B48" w:rsidRPr="5E142495">
        <w:t>t</w:t>
      </w:r>
      <w:r w:rsidRPr="5E142495">
        <w:t xml:space="preserve">elecommunications </w:t>
      </w:r>
      <w:r w:rsidR="00B83D1B" w:rsidRPr="5E142495">
        <w:t>assets</w:t>
      </w:r>
    </w:p>
    <w:p w14:paraId="4F29FEE1" w14:textId="43AEE865" w:rsidR="00CB1100" w:rsidRDefault="4B991BC3" w:rsidP="5F4A6261">
      <w:pPr>
        <w:pStyle w:val="pf0"/>
        <w:spacing w:before="0" w:beforeAutospacing="0" w:after="120" w:afterAutospacing="0"/>
        <w:rPr>
          <w:rStyle w:val="cf11"/>
          <w:rFonts w:ascii="Arial" w:hAnsi="Arial" w:cs="Arial"/>
          <w:sz w:val="20"/>
          <w:szCs w:val="20"/>
        </w:rPr>
      </w:pPr>
      <w:r w:rsidRPr="5F4A6261">
        <w:rPr>
          <w:rStyle w:val="cf11"/>
          <w:rFonts w:ascii="Arial" w:hAnsi="Arial" w:cs="Arial"/>
          <w:sz w:val="20"/>
          <w:szCs w:val="20"/>
        </w:rPr>
        <w:t xml:space="preserve">Disruptions to telecommunications assets can cause a wide array of consequences, including: </w:t>
      </w:r>
    </w:p>
    <w:p w14:paraId="21169F33" w14:textId="3D9177FD" w:rsidR="003F1970" w:rsidRDefault="003C2CB9" w:rsidP="5F4A6261">
      <w:pPr>
        <w:pStyle w:val="pf0"/>
        <w:numPr>
          <w:ilvl w:val="0"/>
          <w:numId w:val="36"/>
        </w:numPr>
        <w:spacing w:before="0" w:beforeAutospacing="0" w:after="120" w:afterAutospacing="0"/>
        <w:rPr>
          <w:rStyle w:val="cf11"/>
          <w:rFonts w:ascii="Arial" w:hAnsi="Arial" w:cs="Arial"/>
          <w:sz w:val="20"/>
          <w:szCs w:val="20"/>
        </w:rPr>
      </w:pPr>
      <w:r w:rsidRPr="5F4A6261">
        <w:rPr>
          <w:rStyle w:val="cf11"/>
          <w:rFonts w:ascii="Arial" w:hAnsi="Arial" w:cs="Arial"/>
          <w:sz w:val="20"/>
          <w:szCs w:val="20"/>
        </w:rPr>
        <w:t xml:space="preserve">In the case of </w:t>
      </w:r>
      <w:r w:rsidRPr="5F4A6261">
        <w:rPr>
          <w:rStyle w:val="cf11"/>
          <w:rFonts w:ascii="Arial" w:hAnsi="Arial" w:cs="Arial"/>
          <w:b/>
          <w:bCs/>
          <w:sz w:val="20"/>
          <w:szCs w:val="20"/>
        </w:rPr>
        <w:t>natural disaster</w:t>
      </w:r>
      <w:r w:rsidR="005F330A" w:rsidRPr="5F4A6261">
        <w:rPr>
          <w:rStyle w:val="cf11"/>
          <w:rFonts w:ascii="Arial" w:hAnsi="Arial" w:cs="Arial"/>
          <w:b/>
          <w:bCs/>
          <w:sz w:val="20"/>
          <w:szCs w:val="20"/>
        </w:rPr>
        <w:t>s</w:t>
      </w:r>
      <w:r w:rsidR="75BBF35B" w:rsidRPr="5F4A6261">
        <w:rPr>
          <w:rStyle w:val="cf11"/>
          <w:rFonts w:ascii="Arial" w:hAnsi="Arial" w:cs="Arial"/>
          <w:b/>
          <w:bCs/>
          <w:sz w:val="20"/>
          <w:szCs w:val="20"/>
        </w:rPr>
        <w:t>,</w:t>
      </w:r>
      <w:r w:rsidR="00D802FA" w:rsidRPr="5F4A6261">
        <w:rPr>
          <w:rStyle w:val="cf11"/>
          <w:rFonts w:ascii="Arial" w:hAnsi="Arial" w:cs="Arial"/>
          <w:sz w:val="20"/>
          <w:szCs w:val="20"/>
        </w:rPr>
        <w:t xml:space="preserve"> which </w:t>
      </w:r>
      <w:r w:rsidR="49238C9C" w:rsidRPr="5F4A6261">
        <w:rPr>
          <w:rStyle w:val="cf11"/>
          <w:rFonts w:ascii="Arial" w:hAnsi="Arial" w:cs="Arial"/>
          <w:sz w:val="20"/>
          <w:szCs w:val="20"/>
        </w:rPr>
        <w:t>typically damage above-ground network components and energy supply,</w:t>
      </w:r>
      <w:r w:rsidR="00D802FA" w:rsidRPr="5F4A6261">
        <w:rPr>
          <w:rStyle w:val="cf11"/>
          <w:rFonts w:ascii="Arial" w:hAnsi="Arial" w:cs="Arial"/>
          <w:sz w:val="20"/>
          <w:szCs w:val="20"/>
        </w:rPr>
        <w:t xml:space="preserve"> </w:t>
      </w:r>
      <w:r w:rsidR="00C01FEB" w:rsidRPr="5F4A6261">
        <w:rPr>
          <w:rStyle w:val="cf11"/>
          <w:rFonts w:ascii="Arial" w:hAnsi="Arial" w:cs="Arial"/>
          <w:sz w:val="20"/>
          <w:szCs w:val="20"/>
        </w:rPr>
        <w:t xml:space="preserve">public safety risks may arise if: </w:t>
      </w:r>
    </w:p>
    <w:p w14:paraId="7568FD96" w14:textId="70AF0BD8" w:rsidR="00C01FEB" w:rsidRDefault="00C561A7" w:rsidP="0079597C">
      <w:pPr>
        <w:pStyle w:val="pf0"/>
        <w:numPr>
          <w:ilvl w:val="0"/>
          <w:numId w:val="37"/>
        </w:numPr>
        <w:spacing w:before="0" w:beforeAutospacing="0" w:after="120" w:afterAutospacing="0"/>
        <w:rPr>
          <w:rStyle w:val="cf11"/>
          <w:rFonts w:ascii="Arial" w:hAnsi="Arial" w:cs="Arial"/>
          <w:sz w:val="20"/>
          <w:szCs w:val="20"/>
        </w:rPr>
      </w:pPr>
      <w:r>
        <w:rPr>
          <w:rStyle w:val="cf11"/>
          <w:rFonts w:ascii="Arial" w:hAnsi="Arial" w:cs="Arial"/>
          <w:sz w:val="20"/>
          <w:szCs w:val="20"/>
        </w:rPr>
        <w:t>t</w:t>
      </w:r>
      <w:r w:rsidR="00C01FEB">
        <w:rPr>
          <w:rStyle w:val="cf11"/>
          <w:rFonts w:ascii="Arial" w:hAnsi="Arial" w:cs="Arial"/>
          <w:sz w:val="20"/>
          <w:szCs w:val="20"/>
        </w:rPr>
        <w:t>he public are unable to receive emergency warnings</w:t>
      </w:r>
      <w:r w:rsidR="00DC7902">
        <w:rPr>
          <w:rStyle w:val="cf11"/>
          <w:rFonts w:ascii="Arial" w:hAnsi="Arial" w:cs="Arial"/>
          <w:sz w:val="20"/>
          <w:szCs w:val="20"/>
        </w:rPr>
        <w:t xml:space="preserve"> via national warning systems</w:t>
      </w:r>
      <w:r w:rsidR="00C01FEB">
        <w:rPr>
          <w:rStyle w:val="cf11"/>
          <w:rFonts w:ascii="Arial" w:hAnsi="Arial" w:cs="Arial"/>
          <w:sz w:val="20"/>
          <w:szCs w:val="20"/>
        </w:rPr>
        <w:t xml:space="preserve">; </w:t>
      </w:r>
    </w:p>
    <w:p w14:paraId="0C65E688" w14:textId="543BF58B" w:rsidR="00C01FEB" w:rsidRDefault="00C561A7" w:rsidP="0079597C">
      <w:pPr>
        <w:pStyle w:val="pf0"/>
        <w:numPr>
          <w:ilvl w:val="0"/>
          <w:numId w:val="37"/>
        </w:numPr>
        <w:spacing w:before="0" w:beforeAutospacing="0" w:after="120" w:afterAutospacing="0"/>
        <w:rPr>
          <w:rStyle w:val="cf11"/>
          <w:rFonts w:ascii="Arial" w:hAnsi="Arial" w:cs="Arial"/>
          <w:sz w:val="20"/>
          <w:szCs w:val="20"/>
        </w:rPr>
      </w:pPr>
      <w:r>
        <w:rPr>
          <w:rStyle w:val="cf11"/>
          <w:rFonts w:ascii="Arial" w:hAnsi="Arial" w:cs="Arial"/>
          <w:sz w:val="20"/>
          <w:szCs w:val="20"/>
        </w:rPr>
        <w:t>t</w:t>
      </w:r>
      <w:r w:rsidR="00DC7902">
        <w:rPr>
          <w:rStyle w:val="cf11"/>
          <w:rFonts w:ascii="Arial" w:hAnsi="Arial" w:cs="Arial"/>
          <w:sz w:val="20"/>
          <w:szCs w:val="20"/>
        </w:rPr>
        <w:t>elecommunications networks are overloaded</w:t>
      </w:r>
      <w:r w:rsidR="0053713B">
        <w:rPr>
          <w:rStyle w:val="cf11"/>
          <w:rFonts w:ascii="Arial" w:hAnsi="Arial" w:cs="Arial"/>
          <w:sz w:val="20"/>
          <w:szCs w:val="20"/>
        </w:rPr>
        <w:t xml:space="preserve">, making it difficult for essential calls to be connected; </w:t>
      </w:r>
      <w:r>
        <w:rPr>
          <w:rStyle w:val="cf11"/>
          <w:rFonts w:ascii="Arial" w:hAnsi="Arial" w:cs="Arial"/>
          <w:sz w:val="20"/>
          <w:szCs w:val="20"/>
        </w:rPr>
        <w:t>or</w:t>
      </w:r>
    </w:p>
    <w:p w14:paraId="115E2C16" w14:textId="2C622F00" w:rsidR="0053713B" w:rsidRPr="0079597C" w:rsidRDefault="00C561A7" w:rsidP="5E142495">
      <w:pPr>
        <w:pStyle w:val="pf0"/>
        <w:numPr>
          <w:ilvl w:val="0"/>
          <w:numId w:val="37"/>
        </w:numPr>
        <w:spacing w:before="0" w:beforeAutospacing="0" w:after="120" w:afterAutospacing="0"/>
        <w:rPr>
          <w:rStyle w:val="cf11"/>
          <w:rFonts w:ascii="Arial" w:hAnsi="Arial" w:cs="Arial"/>
          <w:sz w:val="20"/>
          <w:szCs w:val="20"/>
        </w:rPr>
      </w:pPr>
      <w:proofErr w:type="gramStart"/>
      <w:r w:rsidRPr="5E142495">
        <w:rPr>
          <w:rStyle w:val="cf11"/>
          <w:rFonts w:ascii="Arial" w:hAnsi="Arial" w:cs="Arial"/>
          <w:sz w:val="20"/>
          <w:szCs w:val="20"/>
        </w:rPr>
        <w:t>t</w:t>
      </w:r>
      <w:r w:rsidR="00FC257E" w:rsidRPr="5E142495">
        <w:rPr>
          <w:rStyle w:val="cf11"/>
          <w:rFonts w:ascii="Arial" w:hAnsi="Arial" w:cs="Arial"/>
          <w:sz w:val="20"/>
          <w:szCs w:val="20"/>
        </w:rPr>
        <w:t>here</w:t>
      </w:r>
      <w:proofErr w:type="gramEnd"/>
      <w:r w:rsidR="00FC257E" w:rsidRPr="5E142495">
        <w:rPr>
          <w:rStyle w:val="cf11"/>
          <w:rFonts w:ascii="Arial" w:hAnsi="Arial" w:cs="Arial"/>
          <w:sz w:val="20"/>
          <w:szCs w:val="20"/>
        </w:rPr>
        <w:t xml:space="preserve"> are delays in restoring tele</w:t>
      </w:r>
      <w:r w:rsidR="005F09B8" w:rsidRPr="5E142495">
        <w:rPr>
          <w:rStyle w:val="cf11"/>
          <w:rFonts w:ascii="Arial" w:hAnsi="Arial" w:cs="Arial"/>
          <w:sz w:val="20"/>
          <w:szCs w:val="20"/>
        </w:rPr>
        <w:t>communications assets</w:t>
      </w:r>
      <w:r w:rsidR="00D82422" w:rsidRPr="5E142495">
        <w:rPr>
          <w:rStyle w:val="cf11"/>
          <w:rFonts w:ascii="Arial" w:hAnsi="Arial" w:cs="Arial"/>
          <w:sz w:val="20"/>
          <w:szCs w:val="20"/>
        </w:rPr>
        <w:t xml:space="preserve">, where </w:t>
      </w:r>
      <w:r w:rsidR="00D05EB3" w:rsidRPr="5E142495">
        <w:rPr>
          <w:rStyle w:val="cf11"/>
          <w:rFonts w:ascii="Arial" w:hAnsi="Arial" w:cs="Arial"/>
          <w:sz w:val="20"/>
          <w:szCs w:val="20"/>
        </w:rPr>
        <w:t xml:space="preserve">telecommunications carriers have to wait for safe conditions to repair systems or provide temporary </w:t>
      </w:r>
      <w:r w:rsidR="00CB0430" w:rsidRPr="5E142495">
        <w:rPr>
          <w:rStyle w:val="cf11"/>
          <w:rFonts w:ascii="Arial" w:hAnsi="Arial" w:cs="Arial"/>
          <w:sz w:val="20"/>
          <w:szCs w:val="20"/>
        </w:rPr>
        <w:t xml:space="preserve">telecommunications facilities. </w:t>
      </w:r>
    </w:p>
    <w:p w14:paraId="34547C30" w14:textId="74CE9974" w:rsidR="00CB1100" w:rsidRDefault="003F1970" w:rsidP="5F4A6261">
      <w:pPr>
        <w:pStyle w:val="pf0"/>
        <w:numPr>
          <w:ilvl w:val="0"/>
          <w:numId w:val="36"/>
        </w:numPr>
        <w:spacing w:before="0" w:beforeAutospacing="0" w:after="120" w:afterAutospacing="0"/>
        <w:rPr>
          <w:rStyle w:val="cf11"/>
          <w:rFonts w:ascii="Arial" w:hAnsi="Arial" w:cs="Arial"/>
          <w:sz w:val="20"/>
          <w:szCs w:val="20"/>
        </w:rPr>
      </w:pPr>
      <w:r w:rsidRPr="5F4A6261">
        <w:rPr>
          <w:rStyle w:val="cf11"/>
          <w:rFonts w:ascii="Arial" w:hAnsi="Arial" w:cs="Arial"/>
          <w:sz w:val="20"/>
          <w:szCs w:val="20"/>
        </w:rPr>
        <w:t>The realisation of</w:t>
      </w:r>
      <w:r w:rsidRPr="5F4A6261">
        <w:rPr>
          <w:rStyle w:val="cf11"/>
          <w:rFonts w:ascii="Arial" w:hAnsi="Arial" w:cs="Arial"/>
          <w:b/>
          <w:bCs/>
          <w:sz w:val="20"/>
          <w:szCs w:val="20"/>
        </w:rPr>
        <w:t xml:space="preserve"> </w:t>
      </w:r>
      <w:r w:rsidR="005F09B8" w:rsidRPr="5F4A6261">
        <w:rPr>
          <w:rStyle w:val="cf11"/>
          <w:rFonts w:ascii="Arial" w:hAnsi="Arial" w:cs="Arial"/>
          <w:sz w:val="20"/>
          <w:szCs w:val="20"/>
        </w:rPr>
        <w:t xml:space="preserve">other </w:t>
      </w:r>
      <w:r w:rsidRPr="5F4A6261">
        <w:rPr>
          <w:rStyle w:val="cf11"/>
          <w:rFonts w:ascii="Arial" w:hAnsi="Arial" w:cs="Arial"/>
          <w:b/>
          <w:bCs/>
          <w:sz w:val="20"/>
          <w:szCs w:val="20"/>
        </w:rPr>
        <w:t xml:space="preserve">physical risks </w:t>
      </w:r>
      <w:r w:rsidRPr="5F4A6261">
        <w:rPr>
          <w:rStyle w:val="cf11"/>
          <w:rFonts w:ascii="Arial" w:hAnsi="Arial" w:cs="Arial"/>
          <w:sz w:val="20"/>
          <w:szCs w:val="20"/>
        </w:rPr>
        <w:t>may result in the reduced or suspended operation of a</w:t>
      </w:r>
      <w:r w:rsidRPr="5F4A6261">
        <w:rPr>
          <w:rStyle w:val="cf11"/>
          <w:rFonts w:ascii="Arial" w:hAnsi="Arial" w:cs="Arial"/>
          <w:b/>
          <w:bCs/>
          <w:sz w:val="20"/>
          <w:szCs w:val="20"/>
        </w:rPr>
        <w:t xml:space="preserve"> </w:t>
      </w:r>
      <w:r w:rsidR="00FF0495" w:rsidRPr="5F4A6261">
        <w:rPr>
          <w:rStyle w:val="cf11"/>
          <w:rFonts w:ascii="Arial" w:hAnsi="Arial" w:cs="Arial"/>
          <w:sz w:val="20"/>
          <w:szCs w:val="20"/>
        </w:rPr>
        <w:t>telecommunications asset</w:t>
      </w:r>
      <w:r w:rsidR="03977B40" w:rsidRPr="5F4A6261">
        <w:rPr>
          <w:rStyle w:val="cf11"/>
          <w:rFonts w:ascii="Arial" w:hAnsi="Arial" w:cs="Arial"/>
          <w:sz w:val="20"/>
          <w:szCs w:val="20"/>
        </w:rPr>
        <w:t xml:space="preserve">. Outages may be nation-wide and include: </w:t>
      </w:r>
    </w:p>
    <w:p w14:paraId="07D6A8F3" w14:textId="49684821" w:rsidR="00CB1100" w:rsidRDefault="0F8B86E2" w:rsidP="00771A8F">
      <w:pPr>
        <w:pStyle w:val="pf0"/>
        <w:numPr>
          <w:ilvl w:val="0"/>
          <w:numId w:val="1"/>
        </w:numPr>
        <w:spacing w:before="0" w:beforeAutospacing="0" w:after="120" w:afterAutospacing="0"/>
        <w:rPr>
          <w:rStyle w:val="cf11"/>
          <w:rFonts w:ascii="Arial" w:hAnsi="Arial" w:cs="Arial"/>
          <w:sz w:val="20"/>
          <w:szCs w:val="20"/>
        </w:rPr>
      </w:pPr>
      <w:r w:rsidRPr="5F4A6261">
        <w:rPr>
          <w:rStyle w:val="cf11"/>
          <w:rFonts w:ascii="Arial" w:hAnsi="Arial" w:cs="Arial"/>
          <w:sz w:val="20"/>
          <w:szCs w:val="20"/>
        </w:rPr>
        <w:t>o</w:t>
      </w:r>
      <w:r w:rsidR="732DA407" w:rsidRPr="5F4A6261">
        <w:rPr>
          <w:rStyle w:val="cf11"/>
          <w:rFonts w:ascii="Arial" w:hAnsi="Arial" w:cs="Arial"/>
          <w:sz w:val="20"/>
          <w:szCs w:val="20"/>
        </w:rPr>
        <w:t xml:space="preserve">utages to payment systems; </w:t>
      </w:r>
    </w:p>
    <w:p w14:paraId="6D0D2E7C" w14:textId="68629DDF" w:rsidR="00CB1100" w:rsidRDefault="3A7A1CE1" w:rsidP="00771A8F">
      <w:pPr>
        <w:pStyle w:val="pf0"/>
        <w:numPr>
          <w:ilvl w:val="0"/>
          <w:numId w:val="1"/>
        </w:numPr>
        <w:spacing w:before="0" w:beforeAutospacing="0" w:after="120" w:afterAutospacing="0"/>
        <w:rPr>
          <w:rStyle w:val="cf11"/>
          <w:rFonts w:ascii="Arial" w:hAnsi="Arial" w:cs="Arial"/>
          <w:sz w:val="20"/>
          <w:szCs w:val="20"/>
        </w:rPr>
      </w:pPr>
      <w:r w:rsidRPr="5F4A6261">
        <w:rPr>
          <w:rStyle w:val="cf11"/>
          <w:rFonts w:ascii="Arial" w:hAnsi="Arial" w:cs="Arial"/>
          <w:sz w:val="20"/>
          <w:szCs w:val="20"/>
        </w:rPr>
        <w:t>n</w:t>
      </w:r>
      <w:r w:rsidR="732DA407" w:rsidRPr="5F4A6261">
        <w:rPr>
          <w:rStyle w:val="cf11"/>
          <w:rFonts w:ascii="Arial" w:hAnsi="Arial" w:cs="Arial"/>
          <w:sz w:val="20"/>
          <w:szCs w:val="20"/>
        </w:rPr>
        <w:t>o access to emergency services</w:t>
      </w:r>
      <w:r w:rsidR="00723608">
        <w:rPr>
          <w:rStyle w:val="cf11"/>
          <w:rFonts w:ascii="Arial" w:hAnsi="Arial" w:cs="Arial"/>
          <w:sz w:val="20"/>
          <w:szCs w:val="20"/>
        </w:rPr>
        <w:t>;</w:t>
      </w:r>
      <w:r w:rsidR="732DA407" w:rsidRPr="5F4A6261">
        <w:rPr>
          <w:rStyle w:val="cf11"/>
          <w:rFonts w:ascii="Arial" w:hAnsi="Arial" w:cs="Arial"/>
          <w:sz w:val="20"/>
          <w:szCs w:val="20"/>
        </w:rPr>
        <w:t xml:space="preserve"> </w:t>
      </w:r>
    </w:p>
    <w:p w14:paraId="3F681FD1" w14:textId="2F8D0410" w:rsidR="00CB1100" w:rsidRDefault="6D26B025" w:rsidP="00771A8F">
      <w:pPr>
        <w:pStyle w:val="pf0"/>
        <w:numPr>
          <w:ilvl w:val="0"/>
          <w:numId w:val="1"/>
        </w:numPr>
        <w:spacing w:before="0" w:beforeAutospacing="0" w:after="120" w:afterAutospacing="0"/>
        <w:rPr>
          <w:rStyle w:val="cf11"/>
          <w:rFonts w:ascii="Arial" w:hAnsi="Arial" w:cs="Arial"/>
          <w:sz w:val="20"/>
          <w:szCs w:val="20"/>
        </w:rPr>
      </w:pPr>
      <w:r w:rsidRPr="5F4A6261">
        <w:rPr>
          <w:rStyle w:val="cf11"/>
          <w:rFonts w:ascii="Arial" w:hAnsi="Arial" w:cs="Arial"/>
          <w:sz w:val="20"/>
          <w:szCs w:val="20"/>
        </w:rPr>
        <w:t>d</w:t>
      </w:r>
      <w:r w:rsidR="2B5A9D13" w:rsidRPr="5F4A6261">
        <w:rPr>
          <w:rStyle w:val="cf11"/>
          <w:rFonts w:ascii="Arial" w:hAnsi="Arial" w:cs="Arial"/>
          <w:sz w:val="20"/>
          <w:szCs w:val="20"/>
        </w:rPr>
        <w:t xml:space="preserve">ownstream asset outages </w:t>
      </w:r>
      <w:r w:rsidR="2441466A" w:rsidRPr="5F4A6261">
        <w:rPr>
          <w:rStyle w:val="cf11"/>
          <w:rFonts w:ascii="Arial" w:hAnsi="Arial" w:cs="Arial"/>
          <w:sz w:val="20"/>
          <w:szCs w:val="20"/>
        </w:rPr>
        <w:t>if they rely on data storage or cloud services to function;</w:t>
      </w:r>
      <w:r w:rsidR="00356543">
        <w:rPr>
          <w:rStyle w:val="cf11"/>
          <w:rFonts w:ascii="Arial" w:hAnsi="Arial" w:cs="Arial"/>
          <w:sz w:val="20"/>
          <w:szCs w:val="20"/>
        </w:rPr>
        <w:t xml:space="preserve"> </w:t>
      </w:r>
      <w:r w:rsidR="49ECC9D0" w:rsidRPr="5F4A6261">
        <w:rPr>
          <w:rStyle w:val="cf11"/>
          <w:rFonts w:ascii="Arial" w:hAnsi="Arial" w:cs="Arial"/>
          <w:sz w:val="20"/>
          <w:szCs w:val="20"/>
        </w:rPr>
        <w:t>and</w:t>
      </w:r>
    </w:p>
    <w:p w14:paraId="0B0E5373" w14:textId="28EEF6EA" w:rsidR="00CB1100" w:rsidRPr="00771A8F" w:rsidRDefault="36A2A5D6" w:rsidP="00771A8F">
      <w:pPr>
        <w:pStyle w:val="pf0"/>
        <w:numPr>
          <w:ilvl w:val="0"/>
          <w:numId w:val="1"/>
        </w:numPr>
        <w:spacing w:before="0" w:beforeAutospacing="0" w:after="120" w:afterAutospacing="0"/>
        <w:rPr>
          <w:rStyle w:val="cf11"/>
          <w:rFonts w:ascii="Arial" w:hAnsi="Arial" w:cs="Arial"/>
          <w:sz w:val="20"/>
          <w:szCs w:val="20"/>
        </w:rPr>
      </w:pPr>
      <w:proofErr w:type="gramStart"/>
      <w:r w:rsidRPr="5F4A6261">
        <w:rPr>
          <w:rStyle w:val="cf11"/>
          <w:rFonts w:ascii="Arial" w:hAnsi="Arial" w:cs="Arial"/>
          <w:sz w:val="20"/>
          <w:szCs w:val="20"/>
        </w:rPr>
        <w:t>d</w:t>
      </w:r>
      <w:r w:rsidR="49ECC9D0" w:rsidRPr="5F4A6261">
        <w:rPr>
          <w:rStyle w:val="cf11"/>
          <w:rFonts w:ascii="Arial" w:hAnsi="Arial" w:cs="Arial"/>
          <w:sz w:val="20"/>
          <w:szCs w:val="20"/>
        </w:rPr>
        <w:t>isrupted</w:t>
      </w:r>
      <w:proofErr w:type="gramEnd"/>
      <w:r w:rsidR="49ECC9D0" w:rsidRPr="5F4A6261">
        <w:rPr>
          <w:rStyle w:val="cf11"/>
          <w:rFonts w:ascii="Arial" w:hAnsi="Arial" w:cs="Arial"/>
          <w:sz w:val="20"/>
          <w:szCs w:val="20"/>
        </w:rPr>
        <w:t xml:space="preserve"> supply chains, including in freight and food and grocery sectors. </w:t>
      </w:r>
    </w:p>
    <w:p w14:paraId="489C6EA9" w14:textId="2F54D167" w:rsidR="005F330A" w:rsidRDefault="00F41D50" w:rsidP="5E142495">
      <w:pPr>
        <w:pStyle w:val="pf0"/>
        <w:numPr>
          <w:ilvl w:val="0"/>
          <w:numId w:val="36"/>
        </w:numPr>
        <w:spacing w:before="0" w:beforeAutospacing="0" w:after="120" w:afterAutospacing="0"/>
        <w:rPr>
          <w:rStyle w:val="cf11"/>
          <w:rFonts w:ascii="Arial" w:hAnsi="Arial" w:cs="Arial"/>
          <w:sz w:val="20"/>
          <w:szCs w:val="20"/>
        </w:rPr>
      </w:pPr>
      <w:r w:rsidRPr="5E142495">
        <w:rPr>
          <w:rStyle w:val="cf11"/>
          <w:rFonts w:ascii="Arial" w:hAnsi="Arial" w:cs="Arial"/>
          <w:sz w:val="20"/>
          <w:szCs w:val="20"/>
        </w:rPr>
        <w:t xml:space="preserve">Where a </w:t>
      </w:r>
      <w:r w:rsidRPr="5E142495">
        <w:rPr>
          <w:rStyle w:val="cf11"/>
          <w:rFonts w:ascii="Arial" w:hAnsi="Arial" w:cs="Arial"/>
          <w:b/>
          <w:bCs/>
          <w:sz w:val="20"/>
          <w:szCs w:val="20"/>
        </w:rPr>
        <w:t>cyber-attack</w:t>
      </w:r>
      <w:r w:rsidRPr="5E142495">
        <w:rPr>
          <w:rStyle w:val="cf11"/>
          <w:rFonts w:ascii="Arial" w:hAnsi="Arial" w:cs="Arial"/>
          <w:sz w:val="20"/>
          <w:szCs w:val="20"/>
        </w:rPr>
        <w:t xml:space="preserve"> occurs, telecommunications assets holding </w:t>
      </w:r>
      <w:r w:rsidR="009163B6" w:rsidRPr="5E142495">
        <w:rPr>
          <w:rStyle w:val="cf11"/>
          <w:rFonts w:ascii="Arial" w:hAnsi="Arial" w:cs="Arial"/>
          <w:sz w:val="20"/>
          <w:szCs w:val="20"/>
        </w:rPr>
        <w:t>sensitive</w:t>
      </w:r>
      <w:r w:rsidRPr="5E142495">
        <w:rPr>
          <w:rStyle w:val="cf11"/>
          <w:rFonts w:ascii="Arial" w:hAnsi="Arial" w:cs="Arial"/>
          <w:sz w:val="20"/>
          <w:szCs w:val="20"/>
        </w:rPr>
        <w:t xml:space="preserve"> </w:t>
      </w:r>
      <w:r w:rsidR="3E4873A1" w:rsidRPr="5E142495">
        <w:rPr>
          <w:rStyle w:val="cf11"/>
          <w:rFonts w:ascii="Arial" w:hAnsi="Arial" w:cs="Arial"/>
          <w:sz w:val="20"/>
          <w:szCs w:val="20"/>
        </w:rPr>
        <w:t>data</w:t>
      </w:r>
      <w:r w:rsidRPr="5E142495">
        <w:rPr>
          <w:rStyle w:val="cf11"/>
          <w:rFonts w:ascii="Arial" w:hAnsi="Arial" w:cs="Arial"/>
          <w:sz w:val="20"/>
          <w:szCs w:val="20"/>
        </w:rPr>
        <w:t xml:space="preserve"> may be compromised. </w:t>
      </w:r>
      <w:r w:rsidR="009163B6" w:rsidRPr="5E142495">
        <w:rPr>
          <w:rStyle w:val="cf11"/>
          <w:rFonts w:ascii="Arial" w:hAnsi="Arial" w:cs="Arial"/>
          <w:sz w:val="20"/>
          <w:szCs w:val="20"/>
        </w:rPr>
        <w:t xml:space="preserve">Where </w:t>
      </w:r>
      <w:r w:rsidR="0032329B" w:rsidRPr="5E142495">
        <w:rPr>
          <w:rStyle w:val="cf11"/>
          <w:rFonts w:ascii="Arial" w:hAnsi="Arial" w:cs="Arial"/>
          <w:sz w:val="20"/>
          <w:szCs w:val="20"/>
        </w:rPr>
        <w:t xml:space="preserve">an asset also maintains </w:t>
      </w:r>
      <w:r w:rsidR="00120442" w:rsidRPr="5E142495">
        <w:rPr>
          <w:rStyle w:val="cf11"/>
          <w:rFonts w:ascii="Arial" w:hAnsi="Arial" w:cs="Arial"/>
          <w:sz w:val="20"/>
          <w:szCs w:val="20"/>
        </w:rPr>
        <w:t xml:space="preserve">cloud and data services for corporate customers, a cyber-attack may allow access to these corporations’ </w:t>
      </w:r>
      <w:r w:rsidR="00736F98" w:rsidRPr="5E142495">
        <w:rPr>
          <w:rStyle w:val="cf11"/>
          <w:rFonts w:ascii="Arial" w:hAnsi="Arial" w:cs="Arial"/>
          <w:sz w:val="20"/>
          <w:szCs w:val="20"/>
        </w:rPr>
        <w:t xml:space="preserve">systems and </w:t>
      </w:r>
      <w:r w:rsidR="007C3D62" w:rsidRPr="5E142495">
        <w:rPr>
          <w:rStyle w:val="cf11"/>
          <w:rFonts w:ascii="Arial" w:hAnsi="Arial" w:cs="Arial"/>
          <w:sz w:val="20"/>
          <w:szCs w:val="20"/>
        </w:rPr>
        <w:t>con</w:t>
      </w:r>
      <w:r w:rsidR="00736F98" w:rsidRPr="5E142495">
        <w:rPr>
          <w:rStyle w:val="cf11"/>
          <w:rFonts w:ascii="Arial" w:hAnsi="Arial" w:cs="Arial"/>
          <w:sz w:val="20"/>
          <w:szCs w:val="20"/>
        </w:rPr>
        <w:t>sequent</w:t>
      </w:r>
      <w:r w:rsidR="00C3532B" w:rsidRPr="5E142495">
        <w:rPr>
          <w:rStyle w:val="cf11"/>
          <w:rFonts w:ascii="Arial" w:hAnsi="Arial" w:cs="Arial"/>
          <w:sz w:val="20"/>
          <w:szCs w:val="20"/>
        </w:rPr>
        <w:t>ly</w:t>
      </w:r>
      <w:r w:rsidR="6DEC5FF9" w:rsidRPr="5E142495">
        <w:rPr>
          <w:rStyle w:val="cf11"/>
          <w:rFonts w:ascii="Arial" w:hAnsi="Arial" w:cs="Arial"/>
          <w:sz w:val="20"/>
          <w:szCs w:val="20"/>
        </w:rPr>
        <w:t>,</w:t>
      </w:r>
      <w:r w:rsidR="00736F98" w:rsidRPr="5E142495">
        <w:rPr>
          <w:rStyle w:val="cf11"/>
          <w:rFonts w:ascii="Arial" w:hAnsi="Arial" w:cs="Arial"/>
          <w:sz w:val="20"/>
          <w:szCs w:val="20"/>
        </w:rPr>
        <w:t xml:space="preserve"> compromise of their commercial or customer data.</w:t>
      </w:r>
      <w:r w:rsidR="2D70E17B" w:rsidRPr="5E142495">
        <w:rPr>
          <w:rStyle w:val="cf11"/>
          <w:rFonts w:ascii="Arial" w:hAnsi="Arial" w:cs="Arial"/>
          <w:sz w:val="20"/>
          <w:szCs w:val="20"/>
        </w:rPr>
        <w:t xml:space="preserve"> A cyber-attack may also allow hostile adversaries access to </w:t>
      </w:r>
      <w:r w:rsidR="2D70E17B" w:rsidRPr="5E142495">
        <w:rPr>
          <w:rStyle w:val="cf11"/>
          <w:rFonts w:ascii="Arial" w:hAnsi="Arial" w:cs="Arial"/>
          <w:sz w:val="20"/>
          <w:szCs w:val="20"/>
        </w:rPr>
        <w:lastRenderedPageBreak/>
        <w:t>sensitive law-enforcement and intelligence related data, including interception capability plans prepared in compliance with the</w:t>
      </w:r>
      <w:r w:rsidR="2D70E17B" w:rsidRPr="5E142495">
        <w:rPr>
          <w:rStyle w:val="cf11"/>
          <w:rFonts w:ascii="Arial" w:hAnsi="Arial" w:cs="Arial"/>
          <w:i/>
          <w:iCs/>
          <w:sz w:val="20"/>
          <w:szCs w:val="20"/>
        </w:rPr>
        <w:t xml:space="preserve"> Telecommunications (Interception and Access) Act 1979</w:t>
      </w:r>
      <w:r w:rsidR="7D82C1A2" w:rsidRPr="5E142495">
        <w:rPr>
          <w:rStyle w:val="cf11"/>
          <w:rFonts w:ascii="Arial" w:hAnsi="Arial" w:cs="Arial"/>
          <w:i/>
          <w:iCs/>
          <w:sz w:val="20"/>
          <w:szCs w:val="20"/>
        </w:rPr>
        <w:t>.</w:t>
      </w:r>
    </w:p>
    <w:p w14:paraId="717E7A3C" w14:textId="5B03A56B" w:rsidR="007750D6" w:rsidRPr="006D34F1" w:rsidRDefault="001E21BF" w:rsidP="5E142495">
      <w:pPr>
        <w:pStyle w:val="pf0"/>
        <w:numPr>
          <w:ilvl w:val="0"/>
          <w:numId w:val="36"/>
        </w:numPr>
        <w:spacing w:before="0" w:beforeAutospacing="0" w:after="120" w:afterAutospacing="0"/>
        <w:rPr>
          <w:rStyle w:val="cf11"/>
          <w:rFonts w:ascii="Arial" w:hAnsi="Arial" w:cs="Arial"/>
          <w:sz w:val="20"/>
          <w:szCs w:val="20"/>
          <w:lang w:eastAsia="en-US"/>
        </w:rPr>
      </w:pPr>
      <w:r w:rsidRPr="5E142495">
        <w:rPr>
          <w:rStyle w:val="cf11"/>
          <w:rFonts w:ascii="Arial" w:hAnsi="Arial" w:cs="Arial"/>
          <w:sz w:val="20"/>
          <w:szCs w:val="20"/>
        </w:rPr>
        <w:t xml:space="preserve">With </w:t>
      </w:r>
      <w:r w:rsidRPr="5E142495">
        <w:rPr>
          <w:rStyle w:val="cf11"/>
          <w:rFonts w:ascii="Arial" w:hAnsi="Arial" w:cs="Arial"/>
          <w:b/>
          <w:bCs/>
          <w:sz w:val="20"/>
          <w:szCs w:val="20"/>
        </w:rPr>
        <w:t xml:space="preserve">complex </w:t>
      </w:r>
      <w:r w:rsidR="009436DE" w:rsidRPr="5E142495">
        <w:rPr>
          <w:rStyle w:val="cf11"/>
          <w:rFonts w:ascii="Arial" w:hAnsi="Arial" w:cs="Arial"/>
          <w:b/>
          <w:bCs/>
          <w:sz w:val="20"/>
          <w:szCs w:val="20"/>
        </w:rPr>
        <w:t>supply chains</w:t>
      </w:r>
      <w:r w:rsidR="007C1B16" w:rsidRPr="5E142495">
        <w:rPr>
          <w:rStyle w:val="cf11"/>
          <w:rFonts w:ascii="Arial" w:hAnsi="Arial" w:cs="Arial"/>
          <w:sz w:val="20"/>
          <w:szCs w:val="20"/>
        </w:rPr>
        <w:t xml:space="preserve"> and </w:t>
      </w:r>
      <w:r w:rsidR="00545724" w:rsidRPr="5E142495">
        <w:rPr>
          <w:rStyle w:val="cf11"/>
          <w:rFonts w:ascii="Arial" w:hAnsi="Arial" w:cs="Arial"/>
          <w:sz w:val="20"/>
          <w:szCs w:val="20"/>
        </w:rPr>
        <w:t>increasing</w:t>
      </w:r>
      <w:r w:rsidR="6AC9FA97" w:rsidRPr="5E142495">
        <w:rPr>
          <w:rStyle w:val="cf11"/>
          <w:rFonts w:ascii="Arial" w:hAnsi="Arial" w:cs="Arial"/>
          <w:sz w:val="20"/>
          <w:szCs w:val="20"/>
        </w:rPr>
        <w:t xml:space="preserve"> integration between international networks, software and hardware</w:t>
      </w:r>
      <w:r w:rsidR="00336664" w:rsidRPr="5E142495">
        <w:rPr>
          <w:rStyle w:val="cf11"/>
          <w:rFonts w:ascii="Arial" w:hAnsi="Arial" w:cs="Arial"/>
          <w:sz w:val="20"/>
          <w:szCs w:val="20"/>
        </w:rPr>
        <w:t xml:space="preserve">, </w:t>
      </w:r>
      <w:r w:rsidR="005E4650" w:rsidRPr="5E142495">
        <w:rPr>
          <w:rStyle w:val="cf11"/>
          <w:rFonts w:ascii="Arial" w:hAnsi="Arial" w:cs="Arial"/>
          <w:sz w:val="20"/>
          <w:szCs w:val="20"/>
        </w:rPr>
        <w:t>telecommunications assets are experiencing increasing challenges in identifying</w:t>
      </w:r>
      <w:r w:rsidR="00AA6D1A" w:rsidRPr="5E142495">
        <w:rPr>
          <w:rStyle w:val="cf11"/>
          <w:rFonts w:ascii="Arial" w:hAnsi="Arial" w:cs="Arial"/>
          <w:sz w:val="20"/>
          <w:szCs w:val="20"/>
        </w:rPr>
        <w:t>,</w:t>
      </w:r>
      <w:r w:rsidR="005E4650" w:rsidRPr="5E142495">
        <w:rPr>
          <w:rStyle w:val="cf11"/>
          <w:rFonts w:ascii="Arial" w:hAnsi="Arial" w:cs="Arial"/>
          <w:sz w:val="20"/>
          <w:szCs w:val="20"/>
        </w:rPr>
        <w:t xml:space="preserve"> managing </w:t>
      </w:r>
      <w:r w:rsidR="00AA6D1A" w:rsidRPr="5E142495">
        <w:rPr>
          <w:rStyle w:val="cf11"/>
          <w:rFonts w:ascii="Arial" w:hAnsi="Arial" w:cs="Arial"/>
          <w:sz w:val="20"/>
          <w:szCs w:val="20"/>
        </w:rPr>
        <w:t xml:space="preserve">and responding to </w:t>
      </w:r>
      <w:r w:rsidR="005E4650" w:rsidRPr="5E142495">
        <w:rPr>
          <w:rStyle w:val="cf11"/>
          <w:rFonts w:ascii="Arial" w:hAnsi="Arial" w:cs="Arial"/>
          <w:sz w:val="20"/>
          <w:szCs w:val="20"/>
        </w:rPr>
        <w:t xml:space="preserve">supply chain </w:t>
      </w:r>
      <w:r w:rsidR="00BE29F7" w:rsidRPr="5E142495">
        <w:rPr>
          <w:rStyle w:val="cf11"/>
          <w:rFonts w:ascii="Arial" w:hAnsi="Arial" w:cs="Arial"/>
          <w:sz w:val="20"/>
          <w:szCs w:val="20"/>
        </w:rPr>
        <w:t xml:space="preserve">risks and </w:t>
      </w:r>
      <w:r w:rsidR="005E4650" w:rsidRPr="5E142495">
        <w:rPr>
          <w:rStyle w:val="cf11"/>
          <w:rFonts w:ascii="Arial" w:hAnsi="Arial" w:cs="Arial"/>
          <w:sz w:val="20"/>
          <w:szCs w:val="20"/>
        </w:rPr>
        <w:t xml:space="preserve">vulnerabilities. </w:t>
      </w:r>
      <w:r w:rsidR="00397072" w:rsidRPr="5E142495">
        <w:rPr>
          <w:rStyle w:val="cf11"/>
          <w:rFonts w:ascii="Arial" w:hAnsi="Arial" w:cs="Arial"/>
          <w:sz w:val="20"/>
          <w:szCs w:val="20"/>
        </w:rPr>
        <w:t>Insolvency</w:t>
      </w:r>
      <w:r w:rsidR="00A23C33" w:rsidRPr="5E142495">
        <w:rPr>
          <w:rStyle w:val="cf11"/>
          <w:rFonts w:ascii="Arial" w:hAnsi="Arial" w:cs="Arial"/>
          <w:sz w:val="20"/>
          <w:szCs w:val="20"/>
        </w:rPr>
        <w:t xml:space="preserve">, international trade disruptions or </w:t>
      </w:r>
      <w:r w:rsidR="00397072" w:rsidRPr="5E142495">
        <w:rPr>
          <w:rStyle w:val="cf11"/>
          <w:rFonts w:ascii="Arial" w:hAnsi="Arial" w:cs="Arial"/>
          <w:sz w:val="20"/>
          <w:szCs w:val="20"/>
        </w:rPr>
        <w:t xml:space="preserve">other </w:t>
      </w:r>
      <w:r w:rsidR="00A23C33" w:rsidRPr="5E142495">
        <w:rPr>
          <w:rStyle w:val="cf11"/>
          <w:rFonts w:ascii="Arial" w:hAnsi="Arial" w:cs="Arial"/>
          <w:sz w:val="20"/>
          <w:szCs w:val="20"/>
        </w:rPr>
        <w:t>risks affecting</w:t>
      </w:r>
      <w:r w:rsidR="00397072" w:rsidRPr="5E142495">
        <w:rPr>
          <w:rStyle w:val="cf11"/>
          <w:rFonts w:ascii="Arial" w:hAnsi="Arial" w:cs="Arial"/>
          <w:sz w:val="20"/>
          <w:szCs w:val="20"/>
        </w:rPr>
        <w:t xml:space="preserve"> critical suppliers can </w:t>
      </w:r>
      <w:r w:rsidR="006D34F1" w:rsidRPr="5E142495">
        <w:rPr>
          <w:rStyle w:val="cf11"/>
          <w:rFonts w:ascii="Arial" w:hAnsi="Arial" w:cs="Arial"/>
          <w:sz w:val="20"/>
          <w:szCs w:val="20"/>
        </w:rPr>
        <w:t xml:space="preserve">impact an </w:t>
      </w:r>
      <w:r w:rsidR="00710E13" w:rsidRPr="5E142495">
        <w:rPr>
          <w:rStyle w:val="cf11"/>
          <w:rFonts w:ascii="Arial" w:hAnsi="Arial" w:cs="Arial"/>
          <w:sz w:val="20"/>
          <w:szCs w:val="20"/>
        </w:rPr>
        <w:t>asset</w:t>
      </w:r>
      <w:r w:rsidR="30CE73B2" w:rsidRPr="5E142495">
        <w:rPr>
          <w:rStyle w:val="cf11"/>
          <w:rFonts w:ascii="Arial" w:hAnsi="Arial" w:cs="Arial"/>
          <w:sz w:val="20"/>
          <w:szCs w:val="20"/>
        </w:rPr>
        <w:t>’</w:t>
      </w:r>
      <w:r w:rsidR="00A95960" w:rsidRPr="5E142495">
        <w:rPr>
          <w:rStyle w:val="cf11"/>
          <w:rFonts w:ascii="Arial" w:hAnsi="Arial" w:cs="Arial"/>
          <w:sz w:val="20"/>
          <w:szCs w:val="20"/>
        </w:rPr>
        <w:t>s ability to continue operations</w:t>
      </w:r>
      <w:r w:rsidR="00E473CA" w:rsidRPr="5E142495">
        <w:rPr>
          <w:rStyle w:val="cf11"/>
          <w:rFonts w:ascii="Arial" w:hAnsi="Arial" w:cs="Arial"/>
          <w:sz w:val="20"/>
          <w:szCs w:val="20"/>
        </w:rPr>
        <w:t xml:space="preserve"> eff</w:t>
      </w:r>
      <w:r w:rsidR="000F424E" w:rsidRPr="5E142495">
        <w:rPr>
          <w:rStyle w:val="cf11"/>
          <w:rFonts w:ascii="Arial" w:hAnsi="Arial" w:cs="Arial"/>
          <w:sz w:val="20"/>
          <w:szCs w:val="20"/>
        </w:rPr>
        <w:t>iciently</w:t>
      </w:r>
      <w:r w:rsidR="00C65BCC" w:rsidRPr="5E142495">
        <w:rPr>
          <w:rStyle w:val="cf11"/>
          <w:rFonts w:ascii="Arial" w:hAnsi="Arial" w:cs="Arial"/>
          <w:sz w:val="20"/>
          <w:szCs w:val="20"/>
        </w:rPr>
        <w:t xml:space="preserve">. </w:t>
      </w:r>
      <w:r w:rsidR="39F50BA0" w:rsidRPr="5E142495">
        <w:rPr>
          <w:rStyle w:val="cf11"/>
          <w:rFonts w:ascii="Arial" w:hAnsi="Arial" w:cs="Arial"/>
          <w:sz w:val="20"/>
          <w:szCs w:val="20"/>
        </w:rPr>
        <w:t>Further, complex supply chains can generate security risks such as entry points through compromised hardware products.</w:t>
      </w:r>
    </w:p>
    <w:p w14:paraId="04ECBCF3" w14:textId="35EDD1EA" w:rsidR="00F07D9B" w:rsidRDefault="006D34F1" w:rsidP="0079597C">
      <w:pPr>
        <w:pStyle w:val="pf0"/>
        <w:spacing w:before="0" w:beforeAutospacing="0" w:after="120" w:afterAutospacing="0"/>
        <w:rPr>
          <w:rFonts w:ascii="Arial" w:eastAsiaTheme="majorEastAsia" w:hAnsi="Arial" w:cs="Arial"/>
          <w:color w:val="4472C4" w:themeColor="accent1"/>
          <w:sz w:val="28"/>
          <w:szCs w:val="28"/>
        </w:rPr>
      </w:pPr>
      <w:r>
        <w:rPr>
          <w:rStyle w:val="cf11"/>
          <w:rFonts w:ascii="Arial" w:hAnsi="Arial" w:cs="Arial"/>
          <w:sz w:val="20"/>
          <w:szCs w:val="20"/>
        </w:rPr>
        <w:t xml:space="preserve">These consequences are </w:t>
      </w:r>
      <w:r w:rsidR="00474AC4">
        <w:rPr>
          <w:rStyle w:val="cf11"/>
          <w:rFonts w:ascii="Arial" w:hAnsi="Arial" w:cs="Arial"/>
          <w:sz w:val="20"/>
          <w:szCs w:val="20"/>
        </w:rPr>
        <w:t>considered in further detail in the following case studies</w:t>
      </w:r>
      <w:r w:rsidR="0069085A">
        <w:rPr>
          <w:rStyle w:val="cf11"/>
          <w:rFonts w:ascii="Arial" w:hAnsi="Arial" w:cs="Arial"/>
          <w:sz w:val="20"/>
          <w:szCs w:val="20"/>
        </w:rPr>
        <w:t xml:space="preserve"> from both Australian and international contexts</w:t>
      </w:r>
      <w:r w:rsidR="00474AC4">
        <w:rPr>
          <w:rStyle w:val="cf11"/>
          <w:rFonts w:ascii="Arial" w:hAnsi="Arial" w:cs="Arial"/>
          <w:sz w:val="20"/>
          <w:szCs w:val="20"/>
        </w:rPr>
        <w:t xml:space="preserve">. </w:t>
      </w:r>
    </w:p>
    <w:p w14:paraId="03C00679" w14:textId="3E891877" w:rsidR="0093280D" w:rsidRDefault="00E53F86" w:rsidP="0079597C">
      <w:pPr>
        <w:spacing w:after="0"/>
      </w:pPr>
      <w:r w:rsidRPr="0079597C">
        <w:rPr>
          <w:rFonts w:ascii="Arial" w:eastAsiaTheme="majorEastAsia" w:hAnsi="Arial" w:cs="Arial"/>
          <w:b/>
          <w:color w:val="4472C4" w:themeColor="accent1"/>
          <w:sz w:val="28"/>
          <w:szCs w:val="28"/>
        </w:rPr>
        <w:t xml:space="preserve">Examples of </w:t>
      </w:r>
      <w:r w:rsidR="00657B48" w:rsidRPr="0079597C">
        <w:rPr>
          <w:rFonts w:ascii="Arial" w:eastAsiaTheme="majorEastAsia" w:hAnsi="Arial" w:cs="Arial"/>
          <w:b/>
          <w:color w:val="4472C4" w:themeColor="accent1"/>
          <w:sz w:val="28"/>
          <w:szCs w:val="28"/>
        </w:rPr>
        <w:t>d</w:t>
      </w:r>
      <w:r w:rsidRPr="0079597C">
        <w:rPr>
          <w:rFonts w:ascii="Arial" w:eastAsiaTheme="majorEastAsia" w:hAnsi="Arial" w:cs="Arial"/>
          <w:b/>
          <w:color w:val="4472C4" w:themeColor="accent1"/>
          <w:sz w:val="28"/>
          <w:szCs w:val="28"/>
        </w:rPr>
        <w:t xml:space="preserve">isruptions to </w:t>
      </w:r>
      <w:r w:rsidR="00AF5303" w:rsidRPr="0079597C">
        <w:rPr>
          <w:rFonts w:ascii="Arial" w:eastAsiaTheme="majorEastAsia" w:hAnsi="Arial" w:cs="Arial"/>
          <w:b/>
          <w:color w:val="4472C4" w:themeColor="accent1"/>
          <w:sz w:val="28"/>
          <w:szCs w:val="28"/>
        </w:rPr>
        <w:t>t</w:t>
      </w:r>
      <w:r w:rsidRPr="0079597C">
        <w:rPr>
          <w:rFonts w:ascii="Arial" w:eastAsiaTheme="majorEastAsia" w:hAnsi="Arial" w:cs="Arial"/>
          <w:b/>
          <w:color w:val="4472C4" w:themeColor="accent1"/>
          <w:sz w:val="28"/>
          <w:szCs w:val="28"/>
        </w:rPr>
        <w:t xml:space="preserve">elecommunications </w:t>
      </w:r>
      <w:r w:rsidR="769FD1C3" w:rsidRPr="0079597C">
        <w:rPr>
          <w:rFonts w:ascii="Arial" w:eastAsiaTheme="majorEastAsia" w:hAnsi="Arial" w:cs="Arial"/>
          <w:b/>
          <w:color w:val="4472C4" w:themeColor="accent1"/>
          <w:sz w:val="28"/>
          <w:szCs w:val="28"/>
        </w:rPr>
        <w:t xml:space="preserve">assets </w:t>
      </w:r>
      <w:r w:rsidRPr="0079597C">
        <w:rPr>
          <w:rFonts w:ascii="Arial" w:eastAsiaTheme="majorEastAsia" w:hAnsi="Arial" w:cs="Arial"/>
          <w:b/>
          <w:color w:val="4472C4" w:themeColor="accent1"/>
          <w:sz w:val="28"/>
          <w:szCs w:val="28"/>
        </w:rPr>
        <w:t xml:space="preserve">– </w:t>
      </w:r>
      <w:r w:rsidR="00AF5303" w:rsidRPr="0079597C">
        <w:rPr>
          <w:rFonts w:ascii="Arial" w:eastAsiaTheme="majorEastAsia" w:hAnsi="Arial" w:cs="Arial"/>
          <w:b/>
          <w:color w:val="4472C4" w:themeColor="accent1"/>
          <w:sz w:val="28"/>
          <w:szCs w:val="28"/>
        </w:rPr>
        <w:t>d</w:t>
      </w:r>
      <w:r w:rsidRPr="0079597C">
        <w:rPr>
          <w:rFonts w:ascii="Arial" w:eastAsiaTheme="majorEastAsia" w:hAnsi="Arial" w:cs="Arial"/>
          <w:b/>
          <w:color w:val="4472C4" w:themeColor="accent1"/>
          <w:sz w:val="28"/>
          <w:szCs w:val="28"/>
        </w:rPr>
        <w:t xml:space="preserve">omestic and </w:t>
      </w:r>
      <w:r w:rsidR="00AF5303" w:rsidRPr="0079597C">
        <w:rPr>
          <w:rFonts w:ascii="Arial" w:eastAsiaTheme="majorEastAsia" w:hAnsi="Arial" w:cs="Arial"/>
          <w:b/>
          <w:color w:val="4472C4" w:themeColor="accent1"/>
          <w:sz w:val="28"/>
          <w:szCs w:val="28"/>
        </w:rPr>
        <w:t>i</w:t>
      </w:r>
      <w:r w:rsidRPr="0079597C">
        <w:rPr>
          <w:rFonts w:ascii="Arial" w:eastAsiaTheme="majorEastAsia" w:hAnsi="Arial" w:cs="Arial"/>
          <w:b/>
          <w:color w:val="4472C4" w:themeColor="accent1"/>
          <w:sz w:val="28"/>
          <w:szCs w:val="28"/>
        </w:rPr>
        <w:t>nternational</w:t>
      </w:r>
      <w:r>
        <w:t xml:space="preserve"> </w:t>
      </w:r>
    </w:p>
    <w:p w14:paraId="220BDB4F" w14:textId="77777777" w:rsidR="004E64B5" w:rsidRDefault="004E64B5" w:rsidP="0079597C">
      <w:pPr>
        <w:spacing w:after="0"/>
      </w:pPr>
    </w:p>
    <w:tbl>
      <w:tblPr>
        <w:tblStyle w:val="TableGrid"/>
        <w:tblW w:w="0" w:type="auto"/>
        <w:tblLook w:val="04A0" w:firstRow="1" w:lastRow="0" w:firstColumn="1" w:lastColumn="0" w:noHBand="0" w:noVBand="1"/>
      </w:tblPr>
      <w:tblGrid>
        <w:gridCol w:w="6091"/>
        <w:gridCol w:w="2925"/>
      </w:tblGrid>
      <w:tr w:rsidR="004E64B5" w:rsidRPr="00306021" w14:paraId="5DEBF37F" w14:textId="77777777" w:rsidTr="5E142495">
        <w:trPr>
          <w:trHeight w:val="382"/>
        </w:trPr>
        <w:tc>
          <w:tcPr>
            <w:tcW w:w="6091" w:type="dxa"/>
            <w:tcBorders>
              <w:top w:val="nil"/>
              <w:left w:val="nil"/>
              <w:bottom w:val="single" w:sz="4" w:space="0" w:color="A5A5A5" w:themeColor="accent3"/>
              <w:right w:val="nil"/>
            </w:tcBorders>
            <w:shd w:val="clear" w:color="auto" w:fill="2F5496" w:themeFill="accent1" w:themeFillShade="BF"/>
            <w:vAlign w:val="center"/>
          </w:tcPr>
          <w:p w14:paraId="5C4EAA75" w14:textId="37CB04A8" w:rsidR="004E64B5" w:rsidRPr="00306021" w:rsidRDefault="004E64B5">
            <w:pPr>
              <w:spacing w:before="120" w:after="120"/>
              <w:rPr>
                <w:rFonts w:ascii="Arial" w:hAnsi="Arial" w:cs="Arial"/>
                <w:b/>
                <w:color w:val="FFFFFF" w:themeColor="background1"/>
                <w:sz w:val="20"/>
                <w:szCs w:val="20"/>
              </w:rPr>
            </w:pPr>
            <w:r w:rsidRPr="00306021">
              <w:rPr>
                <w:rFonts w:ascii="Arial" w:hAnsi="Arial" w:cs="Arial"/>
                <w:b/>
                <w:bCs/>
                <w:color w:val="FFFFFF" w:themeColor="background1"/>
                <w:sz w:val="20"/>
                <w:szCs w:val="20"/>
              </w:rPr>
              <w:t>202</w:t>
            </w:r>
            <w:r>
              <w:rPr>
                <w:rFonts w:ascii="Arial" w:hAnsi="Arial" w:cs="Arial"/>
                <w:b/>
                <w:bCs/>
                <w:color w:val="FFFFFF" w:themeColor="background1"/>
                <w:sz w:val="20"/>
                <w:szCs w:val="20"/>
              </w:rPr>
              <w:t>2</w:t>
            </w:r>
            <w:r w:rsidRPr="00306021">
              <w:rPr>
                <w:rFonts w:ascii="Arial" w:hAnsi="Arial" w:cs="Arial"/>
                <w:b/>
                <w:bCs/>
                <w:color w:val="FFFFFF" w:themeColor="background1"/>
                <w:sz w:val="20"/>
                <w:szCs w:val="20"/>
              </w:rPr>
              <w:t xml:space="preserve"> </w:t>
            </w:r>
            <w:r w:rsidRPr="00306021">
              <w:rPr>
                <w:rFonts w:ascii="Arial" w:hAnsi="Arial" w:cs="Arial"/>
                <w:b/>
                <w:color w:val="FFFFFF" w:themeColor="background1"/>
                <w:sz w:val="20"/>
                <w:szCs w:val="20"/>
              </w:rPr>
              <w:t xml:space="preserve">Optus </w:t>
            </w:r>
            <w:r>
              <w:rPr>
                <w:rFonts w:ascii="Arial" w:hAnsi="Arial" w:cs="Arial"/>
                <w:b/>
                <w:bCs/>
                <w:color w:val="FFFFFF" w:themeColor="background1"/>
                <w:sz w:val="20"/>
                <w:szCs w:val="20"/>
              </w:rPr>
              <w:t>data breach</w:t>
            </w:r>
          </w:p>
        </w:tc>
        <w:tc>
          <w:tcPr>
            <w:tcW w:w="2925" w:type="dxa"/>
            <w:tcBorders>
              <w:top w:val="nil"/>
              <w:left w:val="nil"/>
              <w:bottom w:val="single" w:sz="4" w:space="0" w:color="A5A5A5" w:themeColor="accent3"/>
              <w:right w:val="nil"/>
            </w:tcBorders>
            <w:shd w:val="clear" w:color="auto" w:fill="4472C4" w:themeFill="accent1"/>
            <w:vAlign w:val="center"/>
          </w:tcPr>
          <w:p w14:paraId="50EE3820" w14:textId="27CD7767" w:rsidR="004E64B5" w:rsidRPr="00306021" w:rsidRDefault="004E64B5">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Cyber Risk</w:t>
            </w:r>
          </w:p>
        </w:tc>
      </w:tr>
      <w:tr w:rsidR="004E64B5" w:rsidRPr="00306021" w14:paraId="26435036"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vAlign w:val="center"/>
          </w:tcPr>
          <w:p w14:paraId="0AB03DE6" w14:textId="7F9AC1E4" w:rsidR="004E64B5" w:rsidRPr="00771A8F" w:rsidRDefault="004E64B5" w:rsidP="5E142495">
            <w:pPr>
              <w:spacing w:before="120" w:after="120"/>
              <w:rPr>
                <w:rFonts w:ascii="Arial" w:hAnsi="Arial" w:cs="Arial"/>
                <w:sz w:val="20"/>
                <w:szCs w:val="20"/>
              </w:rPr>
            </w:pPr>
            <w:r w:rsidRPr="5E142495">
              <w:rPr>
                <w:rFonts w:ascii="Arial" w:hAnsi="Arial" w:cs="Arial"/>
                <w:b/>
                <w:bCs/>
                <w:sz w:val="20"/>
                <w:szCs w:val="20"/>
              </w:rPr>
              <w:t xml:space="preserve">Situation: </w:t>
            </w:r>
            <w:r w:rsidR="00696760" w:rsidRPr="5E142495">
              <w:rPr>
                <w:rFonts w:ascii="Arial" w:hAnsi="Arial" w:cs="Arial"/>
                <w:sz w:val="20"/>
                <w:szCs w:val="20"/>
              </w:rPr>
              <w:t>In September</w:t>
            </w:r>
            <w:r w:rsidR="008C6555" w:rsidRPr="5E142495">
              <w:rPr>
                <w:rFonts w:ascii="Arial" w:hAnsi="Arial" w:cs="Arial"/>
                <w:sz w:val="20"/>
                <w:szCs w:val="20"/>
              </w:rPr>
              <w:t>,</w:t>
            </w:r>
            <w:r w:rsidR="00696760" w:rsidRPr="5E142495">
              <w:rPr>
                <w:rFonts w:ascii="Arial" w:hAnsi="Arial" w:cs="Arial"/>
                <w:sz w:val="20"/>
                <w:szCs w:val="20"/>
              </w:rPr>
              <w:t xml:space="preserve"> 2022, </w:t>
            </w:r>
            <w:r w:rsidR="00B20F67" w:rsidRPr="5E142495">
              <w:rPr>
                <w:rFonts w:ascii="Arial" w:hAnsi="Arial" w:cs="Arial"/>
                <w:sz w:val="20"/>
                <w:szCs w:val="20"/>
              </w:rPr>
              <w:t xml:space="preserve">Optus </w:t>
            </w:r>
            <w:r w:rsidR="00A8681C" w:rsidRPr="5E142495">
              <w:rPr>
                <w:rFonts w:ascii="Arial" w:hAnsi="Arial" w:cs="Arial"/>
                <w:sz w:val="20"/>
                <w:szCs w:val="20"/>
              </w:rPr>
              <w:t>suffered a</w:t>
            </w:r>
            <w:r w:rsidR="007650F8" w:rsidRPr="5E142495">
              <w:rPr>
                <w:rFonts w:ascii="Arial" w:hAnsi="Arial" w:cs="Arial"/>
                <w:sz w:val="20"/>
                <w:szCs w:val="20"/>
              </w:rPr>
              <w:t xml:space="preserve"> cyber</w:t>
            </w:r>
            <w:r w:rsidR="00A8681C" w:rsidRPr="5E142495">
              <w:rPr>
                <w:rFonts w:ascii="Arial" w:hAnsi="Arial" w:cs="Arial"/>
                <w:sz w:val="20"/>
                <w:szCs w:val="20"/>
              </w:rPr>
              <w:t xml:space="preserve">-attack </w:t>
            </w:r>
            <w:r w:rsidR="00412146" w:rsidRPr="5E142495">
              <w:rPr>
                <w:rFonts w:ascii="Arial" w:hAnsi="Arial" w:cs="Arial"/>
                <w:sz w:val="20"/>
                <w:szCs w:val="20"/>
              </w:rPr>
              <w:t xml:space="preserve">which </w:t>
            </w:r>
            <w:r w:rsidR="005005E7" w:rsidRPr="5E142495">
              <w:rPr>
                <w:rFonts w:ascii="Arial" w:hAnsi="Arial" w:cs="Arial"/>
                <w:sz w:val="20"/>
                <w:szCs w:val="20"/>
              </w:rPr>
              <w:t xml:space="preserve">led to the theft of customer </w:t>
            </w:r>
            <w:r w:rsidR="00412146" w:rsidRPr="5E142495">
              <w:rPr>
                <w:rFonts w:ascii="Arial" w:hAnsi="Arial" w:cs="Arial"/>
                <w:sz w:val="20"/>
                <w:szCs w:val="20"/>
              </w:rPr>
              <w:t>data</w:t>
            </w:r>
            <w:r w:rsidR="005005E7" w:rsidRPr="5E142495">
              <w:rPr>
                <w:rFonts w:ascii="Arial" w:hAnsi="Arial" w:cs="Arial"/>
                <w:sz w:val="20"/>
                <w:szCs w:val="20"/>
              </w:rPr>
              <w:t xml:space="preserve">. The breach occurred due to an </w:t>
            </w:r>
            <w:r w:rsidR="00C10F7D" w:rsidRPr="5E142495">
              <w:rPr>
                <w:rFonts w:ascii="Arial" w:hAnsi="Arial" w:cs="Arial"/>
                <w:sz w:val="20"/>
                <w:szCs w:val="20"/>
              </w:rPr>
              <w:t>unsecured application interface that allowed other devices and systems to access it.</w:t>
            </w:r>
            <w:r w:rsidR="00C10F7D" w:rsidRPr="5E142495">
              <w:rPr>
                <w:rStyle w:val="FootnoteReference"/>
                <w:rFonts w:ascii="Arial" w:hAnsi="Arial" w:cs="Arial"/>
                <w:sz w:val="20"/>
                <w:szCs w:val="20"/>
              </w:rPr>
              <w:footnoteReference w:id="3"/>
            </w:r>
            <w:r w:rsidR="00FC38AB" w:rsidRPr="5E142495">
              <w:rPr>
                <w:rFonts w:ascii="Arial" w:hAnsi="Arial" w:cs="Arial"/>
                <w:sz w:val="20"/>
                <w:szCs w:val="20"/>
              </w:rPr>
              <w:t xml:space="preserve"> </w:t>
            </w:r>
            <w:r w:rsidR="002B5E0C" w:rsidRPr="5E142495">
              <w:rPr>
                <w:rFonts w:ascii="Arial" w:hAnsi="Arial" w:cs="Arial"/>
                <w:sz w:val="20"/>
                <w:szCs w:val="20"/>
              </w:rPr>
              <w:t xml:space="preserve">The </w:t>
            </w:r>
            <w:r w:rsidR="0091482E" w:rsidRPr="5E142495">
              <w:rPr>
                <w:rFonts w:ascii="Arial" w:hAnsi="Arial" w:cs="Arial"/>
                <w:sz w:val="20"/>
                <w:szCs w:val="20"/>
              </w:rPr>
              <w:t xml:space="preserve">stolen customer data contained </w:t>
            </w:r>
            <w:r w:rsidR="00E666AC" w:rsidRPr="5E142495">
              <w:rPr>
                <w:rFonts w:ascii="Arial" w:hAnsi="Arial" w:cs="Arial"/>
                <w:sz w:val="20"/>
                <w:szCs w:val="20"/>
              </w:rPr>
              <w:t xml:space="preserve">personal </w:t>
            </w:r>
            <w:r w:rsidR="0091482E" w:rsidRPr="5E142495">
              <w:rPr>
                <w:rFonts w:ascii="Arial" w:hAnsi="Arial" w:cs="Arial"/>
                <w:sz w:val="20"/>
                <w:szCs w:val="20"/>
              </w:rPr>
              <w:t xml:space="preserve">information </w:t>
            </w:r>
            <w:r w:rsidR="002B5E0C" w:rsidRPr="5E142495">
              <w:rPr>
                <w:rFonts w:ascii="Arial" w:hAnsi="Arial" w:cs="Arial"/>
                <w:sz w:val="20"/>
                <w:szCs w:val="20"/>
              </w:rPr>
              <w:t>data such as addresses, Medicare information, passport information and driver licences.</w:t>
            </w:r>
            <w:r w:rsidR="00365663" w:rsidRPr="5E142495">
              <w:rPr>
                <w:rFonts w:ascii="Arial" w:hAnsi="Arial" w:cs="Arial"/>
                <w:sz w:val="20"/>
                <w:szCs w:val="20"/>
              </w:rPr>
              <w:t xml:space="preserve"> </w:t>
            </w:r>
          </w:p>
        </w:tc>
      </w:tr>
      <w:tr w:rsidR="004E64B5" w:rsidRPr="00306021" w14:paraId="29882591"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2F2F2" w:themeFill="background1" w:themeFillShade="F2"/>
          </w:tcPr>
          <w:p w14:paraId="67EE63B0" w14:textId="65412CC6" w:rsidR="0039226A" w:rsidRDefault="4E398EB4" w:rsidP="5E142495">
            <w:pPr>
              <w:spacing w:before="120" w:after="120"/>
              <w:rPr>
                <w:rFonts w:ascii="Arial" w:hAnsi="Arial" w:cs="Arial"/>
                <w:sz w:val="20"/>
                <w:szCs w:val="20"/>
              </w:rPr>
            </w:pPr>
            <w:r w:rsidRPr="5E142495">
              <w:rPr>
                <w:rFonts w:ascii="Arial" w:hAnsi="Arial" w:cs="Arial"/>
                <w:b/>
                <w:bCs/>
                <w:sz w:val="20"/>
                <w:szCs w:val="20"/>
              </w:rPr>
              <w:t xml:space="preserve">Outcome: </w:t>
            </w:r>
            <w:r w:rsidR="7D15441A" w:rsidRPr="5E142495">
              <w:rPr>
                <w:rFonts w:ascii="Arial" w:hAnsi="Arial" w:cs="Arial"/>
                <w:sz w:val="20"/>
                <w:szCs w:val="20"/>
              </w:rPr>
              <w:t>T</w:t>
            </w:r>
            <w:r w:rsidR="5078A3A7" w:rsidRPr="5E142495">
              <w:rPr>
                <w:rFonts w:ascii="Arial" w:hAnsi="Arial" w:cs="Arial"/>
                <w:sz w:val="20"/>
                <w:szCs w:val="20"/>
              </w:rPr>
              <w:t xml:space="preserve">he </w:t>
            </w:r>
            <w:r w:rsidR="5D60EC4A" w:rsidRPr="5E142495">
              <w:rPr>
                <w:rFonts w:ascii="Arial" w:hAnsi="Arial" w:cs="Arial"/>
                <w:sz w:val="20"/>
                <w:szCs w:val="20"/>
              </w:rPr>
              <w:t xml:space="preserve">incident </w:t>
            </w:r>
            <w:r w:rsidR="2D4A59F9" w:rsidRPr="5E142495">
              <w:rPr>
                <w:rFonts w:ascii="Arial" w:hAnsi="Arial" w:cs="Arial"/>
                <w:sz w:val="20"/>
                <w:szCs w:val="20"/>
              </w:rPr>
              <w:t xml:space="preserve">impacted </w:t>
            </w:r>
            <w:r w:rsidR="14067675" w:rsidRPr="5E142495">
              <w:rPr>
                <w:rFonts w:ascii="Arial" w:hAnsi="Arial" w:cs="Arial"/>
                <w:sz w:val="20"/>
                <w:szCs w:val="20"/>
              </w:rPr>
              <w:t xml:space="preserve">approximately </w:t>
            </w:r>
            <w:r w:rsidR="2A6F87CC" w:rsidRPr="5E142495">
              <w:rPr>
                <w:rFonts w:ascii="Arial" w:hAnsi="Arial" w:cs="Arial"/>
                <w:sz w:val="20"/>
                <w:szCs w:val="20"/>
              </w:rPr>
              <w:t>10 million current and former</w:t>
            </w:r>
            <w:r w:rsidR="5D60EC4A" w:rsidRPr="5E142495">
              <w:rPr>
                <w:rFonts w:ascii="Arial" w:hAnsi="Arial" w:cs="Arial"/>
                <w:sz w:val="20"/>
                <w:szCs w:val="20"/>
              </w:rPr>
              <w:t xml:space="preserve"> Optus customers</w:t>
            </w:r>
            <w:r w:rsidR="0EDA3E6F" w:rsidRPr="5E142495">
              <w:rPr>
                <w:rFonts w:ascii="Arial" w:hAnsi="Arial" w:cs="Arial"/>
                <w:sz w:val="20"/>
                <w:szCs w:val="20"/>
              </w:rPr>
              <w:t xml:space="preserve"> to varying degrees</w:t>
            </w:r>
            <w:r w:rsidR="743BAA0E" w:rsidRPr="5E142495">
              <w:rPr>
                <w:rFonts w:ascii="Arial" w:hAnsi="Arial" w:cs="Arial"/>
                <w:sz w:val="20"/>
                <w:szCs w:val="20"/>
              </w:rPr>
              <w:t>, with some having to replace several identification documents following the breach</w:t>
            </w:r>
            <w:r w:rsidR="2D4A59F9" w:rsidRPr="5E142495">
              <w:rPr>
                <w:rFonts w:ascii="Arial" w:hAnsi="Arial" w:cs="Arial"/>
                <w:sz w:val="20"/>
                <w:szCs w:val="20"/>
              </w:rPr>
              <w:t xml:space="preserve">. </w:t>
            </w:r>
            <w:r w:rsidR="78BB8870" w:rsidRPr="5E142495">
              <w:rPr>
                <w:rFonts w:ascii="Arial" w:hAnsi="Arial" w:cs="Arial"/>
                <w:sz w:val="20"/>
                <w:szCs w:val="20"/>
              </w:rPr>
              <w:t>I</w:t>
            </w:r>
            <w:r w:rsidR="0BCED3AB" w:rsidRPr="5E142495">
              <w:rPr>
                <w:rFonts w:ascii="Arial" w:hAnsi="Arial" w:cs="Arial"/>
                <w:sz w:val="20"/>
                <w:szCs w:val="20"/>
              </w:rPr>
              <w:t>n November 2022</w:t>
            </w:r>
            <w:r w:rsidR="78BB8870" w:rsidRPr="5E142495">
              <w:rPr>
                <w:rFonts w:ascii="Arial" w:hAnsi="Arial" w:cs="Arial"/>
                <w:sz w:val="20"/>
                <w:szCs w:val="20"/>
              </w:rPr>
              <w:t>,</w:t>
            </w:r>
            <w:r w:rsidR="0BCED3AB" w:rsidRPr="5E142495">
              <w:rPr>
                <w:rFonts w:ascii="Arial" w:hAnsi="Arial" w:cs="Arial"/>
                <w:sz w:val="20"/>
                <w:szCs w:val="20"/>
              </w:rPr>
              <w:t xml:space="preserve"> </w:t>
            </w:r>
            <w:r w:rsidR="7D15441A" w:rsidRPr="5E142495">
              <w:rPr>
                <w:rFonts w:ascii="Arial" w:hAnsi="Arial" w:cs="Arial"/>
                <w:sz w:val="20"/>
                <w:szCs w:val="20"/>
              </w:rPr>
              <w:t xml:space="preserve">Optus </w:t>
            </w:r>
            <w:r w:rsidR="0BCED3AB" w:rsidRPr="5E142495">
              <w:rPr>
                <w:rFonts w:ascii="Arial" w:hAnsi="Arial" w:cs="Arial"/>
                <w:sz w:val="20"/>
                <w:szCs w:val="20"/>
              </w:rPr>
              <w:t xml:space="preserve">announced it had made </w:t>
            </w:r>
            <w:r w:rsidR="52204E79" w:rsidRPr="5E142495">
              <w:rPr>
                <w:rFonts w:ascii="Arial" w:hAnsi="Arial" w:cs="Arial"/>
                <w:sz w:val="20"/>
                <w:szCs w:val="20"/>
              </w:rPr>
              <w:t xml:space="preserve">a </w:t>
            </w:r>
            <w:r w:rsidR="794629D5" w:rsidRPr="5E142495">
              <w:rPr>
                <w:rFonts w:ascii="Arial" w:hAnsi="Arial" w:cs="Arial"/>
                <w:sz w:val="20"/>
                <w:szCs w:val="20"/>
              </w:rPr>
              <w:t xml:space="preserve">provision </w:t>
            </w:r>
            <w:r w:rsidR="6E954990" w:rsidRPr="5E142495">
              <w:rPr>
                <w:rFonts w:ascii="Arial" w:hAnsi="Arial" w:cs="Arial"/>
                <w:sz w:val="20"/>
                <w:szCs w:val="20"/>
              </w:rPr>
              <w:t>for</w:t>
            </w:r>
            <w:r w:rsidR="775957A5" w:rsidRPr="5E142495">
              <w:rPr>
                <w:rFonts w:ascii="Arial" w:hAnsi="Arial" w:cs="Arial"/>
                <w:sz w:val="20"/>
                <w:szCs w:val="20"/>
              </w:rPr>
              <w:t xml:space="preserve"> exceptional expenses</w:t>
            </w:r>
            <w:r w:rsidR="6E954990" w:rsidRPr="5E142495">
              <w:rPr>
                <w:rFonts w:ascii="Arial" w:hAnsi="Arial" w:cs="Arial"/>
                <w:sz w:val="20"/>
                <w:szCs w:val="20"/>
              </w:rPr>
              <w:t xml:space="preserve"> of $140 million</w:t>
            </w:r>
            <w:r w:rsidR="761AD361" w:rsidRPr="5E142495">
              <w:rPr>
                <w:rFonts w:ascii="Arial" w:hAnsi="Arial" w:cs="Arial"/>
                <w:sz w:val="20"/>
                <w:szCs w:val="20"/>
              </w:rPr>
              <w:t xml:space="preserve"> for action to prevent harm to customers</w:t>
            </w:r>
            <w:r w:rsidR="2D4A59F9" w:rsidRPr="5E142495">
              <w:rPr>
                <w:rFonts w:ascii="Arial" w:hAnsi="Arial" w:cs="Arial"/>
                <w:sz w:val="20"/>
                <w:szCs w:val="20"/>
              </w:rPr>
              <w:t>.</w:t>
            </w:r>
            <w:r w:rsidR="00325327" w:rsidRPr="5E142495">
              <w:rPr>
                <w:rStyle w:val="FootnoteReference"/>
                <w:rFonts w:ascii="Arial" w:hAnsi="Arial" w:cs="Arial"/>
                <w:sz w:val="20"/>
                <w:szCs w:val="20"/>
              </w:rPr>
              <w:footnoteReference w:id="4"/>
            </w:r>
            <w:r w:rsidR="284DEB5A" w:rsidRPr="5E142495">
              <w:rPr>
                <w:rFonts w:ascii="Arial" w:hAnsi="Arial" w:cs="Arial"/>
                <w:sz w:val="20"/>
                <w:szCs w:val="20"/>
              </w:rPr>
              <w:t xml:space="preserve"> </w:t>
            </w:r>
          </w:p>
          <w:p w14:paraId="77AC56BA" w14:textId="15D54E23" w:rsidR="004E64B5" w:rsidRPr="005D5EA9" w:rsidRDefault="284DEB5A" w:rsidP="5E142495">
            <w:pPr>
              <w:spacing w:before="120" w:after="120"/>
              <w:rPr>
                <w:rFonts w:ascii="Arial" w:hAnsi="Arial" w:cs="Arial"/>
                <w:sz w:val="20"/>
                <w:szCs w:val="20"/>
              </w:rPr>
            </w:pPr>
            <w:r w:rsidRPr="5E142495">
              <w:rPr>
                <w:rFonts w:ascii="Arial" w:hAnsi="Arial" w:cs="Arial"/>
                <w:sz w:val="20"/>
                <w:szCs w:val="20"/>
              </w:rPr>
              <w:t xml:space="preserve">A class action seeking damages </w:t>
            </w:r>
            <w:r w:rsidR="1737C82D" w:rsidRPr="5E142495">
              <w:rPr>
                <w:rFonts w:ascii="Arial" w:hAnsi="Arial" w:cs="Arial"/>
                <w:sz w:val="20"/>
                <w:szCs w:val="20"/>
              </w:rPr>
              <w:t xml:space="preserve">for impacted customers </w:t>
            </w:r>
            <w:r w:rsidR="418A7ABB" w:rsidRPr="5E142495">
              <w:rPr>
                <w:rFonts w:ascii="Arial" w:hAnsi="Arial" w:cs="Arial"/>
                <w:sz w:val="20"/>
                <w:szCs w:val="20"/>
              </w:rPr>
              <w:t xml:space="preserve">was launched in 2023 </w:t>
            </w:r>
            <w:r w:rsidR="63A970E1" w:rsidRPr="5E142495">
              <w:rPr>
                <w:rFonts w:ascii="Arial" w:hAnsi="Arial" w:cs="Arial"/>
                <w:sz w:val="20"/>
                <w:szCs w:val="20"/>
              </w:rPr>
              <w:t xml:space="preserve">with over 100,000 participants, claiming that Optus breached consumer and telecommunications law and failed its duty of care to protect its customers’ information. The class action </w:t>
            </w:r>
            <w:r w:rsidR="0FE8E614" w:rsidRPr="5E142495">
              <w:rPr>
                <w:rFonts w:ascii="Arial" w:hAnsi="Arial" w:cs="Arial"/>
                <w:sz w:val="20"/>
                <w:szCs w:val="20"/>
              </w:rPr>
              <w:t>may</w:t>
            </w:r>
            <w:r w:rsidR="0020492E" w:rsidRPr="5E142495">
              <w:rPr>
                <w:rFonts w:ascii="Arial" w:hAnsi="Arial" w:cs="Arial"/>
                <w:sz w:val="20"/>
                <w:szCs w:val="20"/>
              </w:rPr>
              <w:t xml:space="preserve"> </w:t>
            </w:r>
            <w:r w:rsidR="1737C82D" w:rsidRPr="5E142495">
              <w:rPr>
                <w:rFonts w:ascii="Arial" w:hAnsi="Arial" w:cs="Arial"/>
                <w:sz w:val="20"/>
                <w:szCs w:val="20"/>
              </w:rPr>
              <w:t xml:space="preserve">cause additional direct impacts to </w:t>
            </w:r>
            <w:r w:rsidR="22DA1044" w:rsidRPr="5E142495">
              <w:rPr>
                <w:rFonts w:ascii="Arial" w:hAnsi="Arial" w:cs="Arial"/>
                <w:sz w:val="20"/>
                <w:szCs w:val="20"/>
              </w:rPr>
              <w:t>Optus</w:t>
            </w:r>
            <w:r w:rsidR="449079C3" w:rsidRPr="5E142495">
              <w:rPr>
                <w:rFonts w:ascii="Arial" w:hAnsi="Arial" w:cs="Arial"/>
                <w:sz w:val="20"/>
                <w:szCs w:val="20"/>
              </w:rPr>
              <w:t>.</w:t>
            </w:r>
            <w:r w:rsidR="001D5F9C" w:rsidRPr="5E142495">
              <w:rPr>
                <w:rStyle w:val="FootnoteReference"/>
                <w:rFonts w:ascii="Arial" w:hAnsi="Arial" w:cs="Arial"/>
                <w:sz w:val="20"/>
                <w:szCs w:val="20"/>
              </w:rPr>
              <w:footnoteReference w:id="5"/>
            </w:r>
          </w:p>
        </w:tc>
      </w:tr>
      <w:tr w:rsidR="004E64B5" w:rsidRPr="00306021" w14:paraId="5106FFD5"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tcPr>
          <w:p w14:paraId="6715F939" w14:textId="6BA3B0D3" w:rsidR="004E64B5" w:rsidRPr="00306021" w:rsidRDefault="004E64B5" w:rsidP="5E142495">
            <w:pPr>
              <w:spacing w:before="120" w:after="120"/>
              <w:rPr>
                <w:rFonts w:ascii="Arial" w:hAnsi="Arial" w:cs="Arial"/>
                <w:b/>
                <w:bCs/>
                <w:sz w:val="20"/>
                <w:szCs w:val="20"/>
              </w:rPr>
            </w:pPr>
            <w:r w:rsidRPr="5E142495">
              <w:rPr>
                <w:rFonts w:ascii="Arial" w:hAnsi="Arial" w:cs="Arial"/>
                <w:b/>
                <w:bCs/>
                <w:sz w:val="20"/>
                <w:szCs w:val="20"/>
              </w:rPr>
              <w:t>Identified Gap</w:t>
            </w:r>
            <w:r w:rsidRPr="5E142495">
              <w:rPr>
                <w:rFonts w:ascii="Arial" w:hAnsi="Arial" w:cs="Arial"/>
                <w:sz w:val="20"/>
                <w:szCs w:val="20"/>
              </w:rPr>
              <w:t xml:space="preserve">: The impact of the Optus </w:t>
            </w:r>
            <w:r w:rsidR="00E804F1" w:rsidRPr="5E142495">
              <w:rPr>
                <w:rFonts w:ascii="Arial" w:hAnsi="Arial" w:cs="Arial"/>
                <w:sz w:val="20"/>
                <w:szCs w:val="20"/>
              </w:rPr>
              <w:t>data breach</w:t>
            </w:r>
            <w:r w:rsidRPr="5E142495">
              <w:rPr>
                <w:rFonts w:ascii="Arial" w:hAnsi="Arial" w:cs="Arial"/>
                <w:sz w:val="20"/>
                <w:szCs w:val="20"/>
              </w:rPr>
              <w:t xml:space="preserve"> on its customers highlighted a greater need for adequate risk management processes </w:t>
            </w:r>
            <w:r w:rsidR="002E144F" w:rsidRPr="5E142495">
              <w:rPr>
                <w:rFonts w:ascii="Arial" w:hAnsi="Arial" w:cs="Arial"/>
                <w:sz w:val="20"/>
                <w:szCs w:val="20"/>
              </w:rPr>
              <w:t xml:space="preserve">and stronger systems </w:t>
            </w:r>
            <w:r w:rsidRPr="5E142495">
              <w:rPr>
                <w:rFonts w:ascii="Arial" w:hAnsi="Arial" w:cs="Arial"/>
                <w:sz w:val="20"/>
                <w:szCs w:val="20"/>
              </w:rPr>
              <w:t>to</w:t>
            </w:r>
            <w:r w:rsidR="00542E48" w:rsidRPr="5E142495">
              <w:rPr>
                <w:rFonts w:ascii="Arial" w:hAnsi="Arial" w:cs="Arial"/>
                <w:sz w:val="20"/>
                <w:szCs w:val="20"/>
              </w:rPr>
              <w:t xml:space="preserve"> </w:t>
            </w:r>
            <w:r w:rsidRPr="5E142495">
              <w:rPr>
                <w:rFonts w:ascii="Arial" w:hAnsi="Arial" w:cs="Arial"/>
                <w:sz w:val="20"/>
                <w:szCs w:val="20"/>
              </w:rPr>
              <w:t xml:space="preserve">improve the </w:t>
            </w:r>
            <w:r w:rsidR="00542E48" w:rsidRPr="5E142495">
              <w:rPr>
                <w:rFonts w:ascii="Arial" w:hAnsi="Arial" w:cs="Arial"/>
                <w:sz w:val="20"/>
                <w:szCs w:val="20"/>
              </w:rPr>
              <w:t>resilience</w:t>
            </w:r>
            <w:r w:rsidR="00A06E87" w:rsidRPr="5E142495">
              <w:rPr>
                <w:rFonts w:ascii="Arial" w:hAnsi="Arial" w:cs="Arial"/>
                <w:sz w:val="20"/>
                <w:szCs w:val="20"/>
              </w:rPr>
              <w:t xml:space="preserve"> of networks to data breaches</w:t>
            </w:r>
            <w:r w:rsidR="009619C7" w:rsidRPr="5E142495">
              <w:rPr>
                <w:rFonts w:ascii="Arial" w:hAnsi="Arial" w:cs="Arial"/>
                <w:sz w:val="20"/>
                <w:szCs w:val="20"/>
              </w:rPr>
              <w:t xml:space="preserve"> and improve the reliability of networks</w:t>
            </w:r>
            <w:r w:rsidRPr="5E142495">
              <w:rPr>
                <w:rFonts w:ascii="Arial" w:hAnsi="Arial" w:cs="Arial"/>
                <w:sz w:val="20"/>
                <w:szCs w:val="20"/>
              </w:rPr>
              <w:t xml:space="preserve">.  </w:t>
            </w:r>
          </w:p>
        </w:tc>
      </w:tr>
    </w:tbl>
    <w:p w14:paraId="39594078" w14:textId="2E4A3CE9" w:rsidR="003913AA" w:rsidRPr="00BF4CE8" w:rsidRDefault="003913AA" w:rsidP="00CE5815">
      <w:pPr>
        <w:spacing w:after="0"/>
        <w:rPr>
          <w:rFonts w:ascii="Arial" w:hAnsi="Arial" w:cs="Arial"/>
        </w:rPr>
      </w:pPr>
    </w:p>
    <w:tbl>
      <w:tblPr>
        <w:tblStyle w:val="TableGrid"/>
        <w:tblW w:w="0" w:type="auto"/>
        <w:tblLook w:val="04A0" w:firstRow="1" w:lastRow="0" w:firstColumn="1" w:lastColumn="0" w:noHBand="0" w:noVBand="1"/>
      </w:tblPr>
      <w:tblGrid>
        <w:gridCol w:w="6379"/>
        <w:gridCol w:w="2637"/>
      </w:tblGrid>
      <w:tr w:rsidR="003257EC" w:rsidRPr="00BF4CE8" w14:paraId="18CC256B" w14:textId="77777777" w:rsidTr="5E142495">
        <w:trPr>
          <w:trHeight w:val="469"/>
        </w:trPr>
        <w:tc>
          <w:tcPr>
            <w:tcW w:w="6379" w:type="dxa"/>
            <w:tcBorders>
              <w:top w:val="nil"/>
              <w:left w:val="nil"/>
              <w:bottom w:val="single" w:sz="4" w:space="0" w:color="BFBFBF" w:themeColor="background1" w:themeShade="BF"/>
              <w:right w:val="nil"/>
            </w:tcBorders>
            <w:shd w:val="clear" w:color="auto" w:fill="2F5496" w:themeFill="accent1" w:themeFillShade="BF"/>
            <w:vAlign w:val="center"/>
          </w:tcPr>
          <w:p w14:paraId="77D51A82" w14:textId="3CDD19F3" w:rsidR="003257EC" w:rsidRPr="00BF4CE8" w:rsidRDefault="003257EC">
            <w:pPr>
              <w:rPr>
                <w:rFonts w:ascii="Arial" w:hAnsi="Arial" w:cs="Arial"/>
              </w:rPr>
            </w:pPr>
            <w:r w:rsidRPr="00BF4CE8">
              <w:rPr>
                <w:rFonts w:ascii="Arial" w:hAnsi="Arial" w:cs="Arial"/>
                <w:b/>
                <w:color w:val="FFFFFF" w:themeColor="background1"/>
                <w:sz w:val="20"/>
                <w:szCs w:val="20"/>
              </w:rPr>
              <w:lastRenderedPageBreak/>
              <w:t>2022 C</w:t>
            </w:r>
            <w:r w:rsidRPr="00771A8F">
              <w:rPr>
                <w:rFonts w:ascii="Arial" w:hAnsi="Arial" w:cs="Arial"/>
                <w:b/>
                <w:color w:val="FFFFFF" w:themeColor="background1"/>
                <w:sz w:val="20"/>
                <w:szCs w:val="20"/>
              </w:rPr>
              <w:t>yber-attack</w:t>
            </w:r>
            <w:r w:rsidRPr="00BF4CE8">
              <w:rPr>
                <w:rFonts w:ascii="Arial" w:hAnsi="Arial" w:cs="Arial"/>
                <w:b/>
                <w:color w:val="FFFFFF" w:themeColor="background1"/>
                <w:sz w:val="20"/>
                <w:szCs w:val="20"/>
              </w:rPr>
              <w:t xml:space="preserve"> on Satellite Network in Ukraine</w:t>
            </w:r>
            <w:r w:rsidRPr="00BF4CE8">
              <w:rPr>
                <w:rStyle w:val="FootnoteReference"/>
                <w:rFonts w:ascii="Arial" w:hAnsi="Arial" w:cs="Arial"/>
                <w:b/>
                <w:color w:val="FFFFFF" w:themeColor="background1"/>
                <w:sz w:val="20"/>
                <w:szCs w:val="20"/>
              </w:rPr>
              <w:footnoteReference w:id="6"/>
            </w:r>
          </w:p>
        </w:tc>
        <w:tc>
          <w:tcPr>
            <w:tcW w:w="2637" w:type="dxa"/>
            <w:tcBorders>
              <w:top w:val="nil"/>
              <w:left w:val="nil"/>
              <w:bottom w:val="single" w:sz="4" w:space="0" w:color="BFBFBF" w:themeColor="background1" w:themeShade="BF"/>
              <w:right w:val="nil"/>
            </w:tcBorders>
            <w:shd w:val="clear" w:color="auto" w:fill="4472C4" w:themeFill="accent1"/>
            <w:vAlign w:val="center"/>
          </w:tcPr>
          <w:p w14:paraId="4566EE2E" w14:textId="23978D97" w:rsidR="003257EC" w:rsidRPr="00BF4CE8" w:rsidRDefault="003257EC">
            <w:pPr>
              <w:rPr>
                <w:rFonts w:ascii="Arial" w:hAnsi="Arial" w:cs="Arial"/>
              </w:rPr>
            </w:pPr>
            <w:r w:rsidRPr="00BF4CE8">
              <w:rPr>
                <w:rFonts w:ascii="Arial" w:hAnsi="Arial" w:cs="Arial"/>
                <w:b/>
                <w:color w:val="FFFFFF" w:themeColor="background1"/>
                <w:sz w:val="20"/>
                <w:szCs w:val="20"/>
              </w:rPr>
              <w:t>Cyber Risk</w:t>
            </w:r>
          </w:p>
        </w:tc>
      </w:tr>
      <w:tr w:rsidR="003257EC" w14:paraId="03995AAC" w14:textId="77777777" w:rsidTr="5E142495">
        <w:tc>
          <w:tcPr>
            <w:tcW w:w="9016" w:type="dxa"/>
            <w:gridSpan w:val="2"/>
            <w:tcBorders>
              <w:top w:val="single" w:sz="4" w:space="0" w:color="BFBFBF" w:themeColor="background1" w:themeShade="BF"/>
              <w:left w:val="nil"/>
              <w:bottom w:val="single" w:sz="4" w:space="0" w:color="BFBFBF" w:themeColor="background1" w:themeShade="BF"/>
              <w:right w:val="nil"/>
            </w:tcBorders>
            <w:vAlign w:val="center"/>
          </w:tcPr>
          <w:p w14:paraId="6AC43104" w14:textId="01C379CE" w:rsidR="003257EC" w:rsidRPr="0076798C" w:rsidRDefault="003257EC" w:rsidP="0079597C">
            <w:pPr>
              <w:spacing w:before="120" w:after="120"/>
              <w:rPr>
                <w:rFonts w:ascii="Arial" w:hAnsi="Arial" w:cs="Arial"/>
                <w:b/>
                <w:bCs/>
                <w:sz w:val="20"/>
                <w:szCs w:val="20"/>
              </w:rPr>
            </w:pPr>
            <w:r w:rsidRPr="0076798C">
              <w:rPr>
                <w:rFonts w:ascii="Arial" w:hAnsi="Arial" w:cs="Arial"/>
                <w:b/>
                <w:bCs/>
                <w:sz w:val="20"/>
                <w:szCs w:val="20"/>
              </w:rPr>
              <w:t xml:space="preserve">Situation: </w:t>
            </w:r>
            <w:r w:rsidRPr="0076798C">
              <w:rPr>
                <w:rFonts w:ascii="Arial" w:hAnsi="Arial" w:cs="Arial"/>
                <w:sz w:val="20"/>
                <w:szCs w:val="20"/>
              </w:rPr>
              <w:t>On February 24</w:t>
            </w:r>
            <w:r w:rsidR="008C6555" w:rsidRPr="0076798C">
              <w:rPr>
                <w:rFonts w:ascii="Arial" w:hAnsi="Arial" w:cs="Arial"/>
                <w:sz w:val="20"/>
                <w:szCs w:val="20"/>
              </w:rPr>
              <w:t>, 2022</w:t>
            </w:r>
            <w:r w:rsidRPr="0076798C">
              <w:rPr>
                <w:rFonts w:ascii="Arial" w:hAnsi="Arial" w:cs="Arial"/>
                <w:sz w:val="20"/>
                <w:szCs w:val="20"/>
              </w:rPr>
              <w:t>, a cyber-attack disrupted broadband satellite internet access</w:t>
            </w:r>
            <w:r w:rsidR="004A25E2" w:rsidRPr="0076798C">
              <w:rPr>
                <w:rFonts w:ascii="Arial" w:hAnsi="Arial" w:cs="Arial"/>
                <w:sz w:val="20"/>
                <w:szCs w:val="20"/>
              </w:rPr>
              <w:t xml:space="preserve"> throughout Ukraine</w:t>
            </w:r>
            <w:r w:rsidRPr="0076798C">
              <w:rPr>
                <w:rFonts w:ascii="Arial" w:hAnsi="Arial" w:cs="Arial"/>
                <w:sz w:val="20"/>
                <w:szCs w:val="20"/>
              </w:rPr>
              <w:t xml:space="preserve">. This attack disabled modems that communicate with </w:t>
            </w:r>
            <w:proofErr w:type="spellStart"/>
            <w:r w:rsidR="0076798C" w:rsidRPr="0076798C">
              <w:rPr>
                <w:rFonts w:ascii="Arial" w:hAnsi="Arial" w:cs="Arial"/>
                <w:sz w:val="20"/>
                <w:szCs w:val="20"/>
              </w:rPr>
              <w:t>ViaSat</w:t>
            </w:r>
            <w:proofErr w:type="spellEnd"/>
            <w:r w:rsidRPr="0076798C">
              <w:rPr>
                <w:rFonts w:ascii="Arial" w:hAnsi="Arial" w:cs="Arial"/>
                <w:sz w:val="20"/>
                <w:szCs w:val="20"/>
              </w:rPr>
              <w:t xml:space="preserve"> </w:t>
            </w:r>
            <w:proofErr w:type="spellStart"/>
            <w:r w:rsidRPr="0076798C">
              <w:rPr>
                <w:rFonts w:ascii="Arial" w:hAnsi="Arial" w:cs="Arial"/>
                <w:sz w:val="20"/>
                <w:szCs w:val="20"/>
              </w:rPr>
              <w:t>Inc's</w:t>
            </w:r>
            <w:proofErr w:type="spellEnd"/>
            <w:r w:rsidRPr="0076798C">
              <w:rPr>
                <w:rFonts w:ascii="Arial" w:hAnsi="Arial" w:cs="Arial"/>
                <w:sz w:val="20"/>
                <w:szCs w:val="20"/>
              </w:rPr>
              <w:t xml:space="preserve"> KA-SAT</w:t>
            </w:r>
            <w:r w:rsidR="004A25E2" w:rsidRPr="0076798C">
              <w:rPr>
                <w:rFonts w:ascii="Arial" w:hAnsi="Arial" w:cs="Arial"/>
                <w:sz w:val="20"/>
                <w:szCs w:val="20"/>
              </w:rPr>
              <w:t xml:space="preserve">, a critical Ukrainian </w:t>
            </w:r>
            <w:r w:rsidRPr="0076798C">
              <w:rPr>
                <w:rFonts w:ascii="Arial" w:hAnsi="Arial" w:cs="Arial"/>
                <w:sz w:val="20"/>
                <w:szCs w:val="20"/>
              </w:rPr>
              <w:t xml:space="preserve">satellite network, which supplies internet access to tens of thousands of people in Ukraine and Europe. </w:t>
            </w:r>
            <w:r w:rsidR="004A25E2" w:rsidRPr="0076798C">
              <w:rPr>
                <w:rFonts w:ascii="Arial" w:hAnsi="Arial" w:cs="Arial"/>
                <w:sz w:val="20"/>
                <w:szCs w:val="20"/>
              </w:rPr>
              <w:t>The attack was deliberately designed to</w:t>
            </w:r>
            <w:r w:rsidRPr="0076798C">
              <w:rPr>
                <w:rFonts w:ascii="Arial" w:hAnsi="Arial" w:cs="Arial"/>
                <w:sz w:val="20"/>
                <w:szCs w:val="20"/>
              </w:rPr>
              <w:t xml:space="preserve"> disrupt Ukrainian command and control services. The remote malware </w:t>
            </w:r>
            <w:r w:rsidR="0069085A" w:rsidRPr="0076798C">
              <w:rPr>
                <w:rFonts w:ascii="Arial" w:hAnsi="Arial" w:cs="Arial"/>
                <w:sz w:val="20"/>
                <w:szCs w:val="20"/>
              </w:rPr>
              <w:t>deployed in the system created impacts throughout</w:t>
            </w:r>
            <w:r w:rsidRPr="0076798C">
              <w:rPr>
                <w:rFonts w:ascii="Arial" w:hAnsi="Arial" w:cs="Arial"/>
                <w:sz w:val="20"/>
                <w:szCs w:val="20"/>
              </w:rPr>
              <w:t xml:space="preserve"> Europe</w:t>
            </w:r>
            <w:r w:rsidR="0069085A" w:rsidRPr="0076798C">
              <w:rPr>
                <w:rFonts w:ascii="Arial" w:hAnsi="Arial" w:cs="Arial"/>
                <w:sz w:val="20"/>
                <w:szCs w:val="20"/>
              </w:rPr>
              <w:t xml:space="preserve">, by </w:t>
            </w:r>
            <w:r w:rsidRPr="0076798C">
              <w:rPr>
                <w:rFonts w:ascii="Arial" w:hAnsi="Arial" w:cs="Arial"/>
                <w:sz w:val="20"/>
                <w:szCs w:val="20"/>
              </w:rPr>
              <w:t>remotely eras</w:t>
            </w:r>
            <w:r w:rsidR="0069085A" w:rsidRPr="0076798C">
              <w:rPr>
                <w:rFonts w:ascii="Arial" w:hAnsi="Arial" w:cs="Arial"/>
                <w:sz w:val="20"/>
                <w:szCs w:val="20"/>
              </w:rPr>
              <w:t>ing</w:t>
            </w:r>
            <w:r w:rsidRPr="0076798C">
              <w:rPr>
                <w:rFonts w:ascii="Arial" w:hAnsi="Arial" w:cs="Arial"/>
                <w:sz w:val="20"/>
                <w:szCs w:val="20"/>
              </w:rPr>
              <w:t xml:space="preserve"> </w:t>
            </w:r>
            <w:r w:rsidR="006535C3">
              <w:rPr>
                <w:rFonts w:ascii="Arial" w:hAnsi="Arial" w:cs="Arial"/>
                <w:sz w:val="20"/>
                <w:szCs w:val="20"/>
              </w:rPr>
              <w:t xml:space="preserve">software </w:t>
            </w:r>
            <w:r w:rsidR="005C0438">
              <w:rPr>
                <w:rFonts w:ascii="Arial" w:hAnsi="Arial" w:cs="Arial"/>
                <w:sz w:val="20"/>
                <w:szCs w:val="20"/>
              </w:rPr>
              <w:t xml:space="preserve">on </w:t>
            </w:r>
            <w:r w:rsidRPr="0076798C">
              <w:rPr>
                <w:rFonts w:ascii="Arial" w:hAnsi="Arial" w:cs="Arial"/>
                <w:sz w:val="20"/>
                <w:szCs w:val="20"/>
              </w:rPr>
              <w:t>modems and routers</w:t>
            </w:r>
            <w:r w:rsidR="005C0438">
              <w:rPr>
                <w:rFonts w:ascii="Arial" w:hAnsi="Arial" w:cs="Arial"/>
                <w:sz w:val="20"/>
                <w:szCs w:val="20"/>
              </w:rPr>
              <w:t xml:space="preserve"> making</w:t>
            </w:r>
            <w:r w:rsidR="00EB1163">
              <w:rPr>
                <w:rFonts w:ascii="Arial" w:hAnsi="Arial" w:cs="Arial"/>
                <w:sz w:val="20"/>
                <w:szCs w:val="20"/>
              </w:rPr>
              <w:t xml:space="preserve"> them non</w:t>
            </w:r>
            <w:r w:rsidR="000F0A2D">
              <w:rPr>
                <w:rFonts w:ascii="Arial" w:hAnsi="Arial" w:cs="Arial"/>
                <w:sz w:val="20"/>
                <w:szCs w:val="20"/>
              </w:rPr>
              <w:t>-operational</w:t>
            </w:r>
            <w:r w:rsidRPr="0076798C">
              <w:rPr>
                <w:rFonts w:ascii="Arial" w:hAnsi="Arial" w:cs="Arial"/>
                <w:sz w:val="20"/>
                <w:szCs w:val="20"/>
              </w:rPr>
              <w:t>.</w:t>
            </w:r>
          </w:p>
        </w:tc>
      </w:tr>
      <w:tr w:rsidR="003257EC" w14:paraId="10A46B05" w14:textId="77777777" w:rsidTr="5E142495">
        <w:tc>
          <w:tcPr>
            <w:tcW w:w="9016"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5D68E025" w14:textId="65A5A791" w:rsidR="003257EC" w:rsidRPr="004F610D" w:rsidRDefault="48F30D91" w:rsidP="5E142495">
            <w:pPr>
              <w:spacing w:before="120" w:after="120"/>
              <w:rPr>
                <w:rFonts w:ascii="Arial" w:hAnsi="Arial" w:cs="Arial"/>
                <w:sz w:val="20"/>
                <w:szCs w:val="20"/>
              </w:rPr>
            </w:pPr>
            <w:r w:rsidRPr="5E142495">
              <w:rPr>
                <w:rFonts w:ascii="Arial" w:hAnsi="Arial" w:cs="Arial"/>
                <w:b/>
                <w:bCs/>
                <w:sz w:val="20"/>
                <w:szCs w:val="20"/>
              </w:rPr>
              <w:t xml:space="preserve">Outcome: </w:t>
            </w:r>
            <w:r w:rsidRPr="5E142495">
              <w:rPr>
                <w:rFonts w:ascii="Arial" w:hAnsi="Arial" w:cs="Arial"/>
                <w:sz w:val="20"/>
                <w:szCs w:val="20"/>
              </w:rPr>
              <w:t xml:space="preserve">The attack impacted telecommunications systems, threatened government and military objects, </w:t>
            </w:r>
            <w:r w:rsidR="003A62B5" w:rsidRPr="5E142495">
              <w:rPr>
                <w:rFonts w:ascii="Arial" w:hAnsi="Arial" w:cs="Arial"/>
                <w:sz w:val="20"/>
                <w:szCs w:val="20"/>
              </w:rPr>
              <w:t>and</w:t>
            </w:r>
            <w:r w:rsidRPr="5E142495">
              <w:rPr>
                <w:rFonts w:ascii="Arial" w:hAnsi="Arial" w:cs="Arial"/>
                <w:sz w:val="20"/>
                <w:szCs w:val="20"/>
              </w:rPr>
              <w:t xml:space="preserve"> impacted civilian objects both in Ukraine and beyond when they experienced a loss of internet access and disruptions to</w:t>
            </w:r>
            <w:r w:rsidR="5B0A26C1" w:rsidRPr="5E142495">
              <w:rPr>
                <w:rFonts w:ascii="Arial" w:hAnsi="Arial" w:cs="Arial"/>
                <w:sz w:val="20"/>
                <w:szCs w:val="20"/>
              </w:rPr>
              <w:t xml:space="preserve"> energy systems</w:t>
            </w:r>
            <w:r w:rsidRPr="5E142495">
              <w:rPr>
                <w:rFonts w:ascii="Arial" w:hAnsi="Arial" w:cs="Arial"/>
                <w:sz w:val="20"/>
                <w:szCs w:val="20"/>
              </w:rPr>
              <w:t xml:space="preserve">. </w:t>
            </w:r>
            <w:r w:rsidR="3BA7B41B" w:rsidRPr="5E142495">
              <w:rPr>
                <w:rFonts w:ascii="Arial" w:hAnsi="Arial" w:cs="Arial"/>
                <w:sz w:val="20"/>
                <w:szCs w:val="20"/>
              </w:rPr>
              <w:t xml:space="preserve">While </w:t>
            </w:r>
            <w:r w:rsidR="040440AC" w:rsidRPr="5E142495">
              <w:rPr>
                <w:rFonts w:ascii="Arial" w:hAnsi="Arial" w:cs="Arial"/>
                <w:sz w:val="20"/>
                <w:szCs w:val="20"/>
              </w:rPr>
              <w:t>most</w:t>
            </w:r>
            <w:r w:rsidR="3BA7B41B" w:rsidRPr="5E142495">
              <w:rPr>
                <w:rFonts w:ascii="Arial" w:hAnsi="Arial" w:cs="Arial"/>
                <w:sz w:val="20"/>
                <w:szCs w:val="20"/>
              </w:rPr>
              <w:t xml:space="preserve"> network users were back online after several </w:t>
            </w:r>
            <w:r w:rsidR="6C1EEEAE" w:rsidRPr="5E142495">
              <w:rPr>
                <w:rFonts w:ascii="Arial" w:hAnsi="Arial" w:cs="Arial"/>
                <w:sz w:val="20"/>
                <w:szCs w:val="20"/>
              </w:rPr>
              <w:t>days, s</w:t>
            </w:r>
            <w:r w:rsidR="1A5BC0D9" w:rsidRPr="5E142495">
              <w:rPr>
                <w:rFonts w:ascii="Arial" w:hAnsi="Arial" w:cs="Arial"/>
                <w:sz w:val="20"/>
                <w:szCs w:val="20"/>
              </w:rPr>
              <w:t xml:space="preserve">ome </w:t>
            </w:r>
            <w:r w:rsidR="6C1EEEAE" w:rsidRPr="5E142495">
              <w:rPr>
                <w:rFonts w:ascii="Arial" w:hAnsi="Arial" w:cs="Arial"/>
                <w:sz w:val="20"/>
                <w:szCs w:val="20"/>
              </w:rPr>
              <w:t xml:space="preserve">users </w:t>
            </w:r>
            <w:r w:rsidR="1A5BC0D9" w:rsidRPr="5E142495">
              <w:rPr>
                <w:rFonts w:ascii="Arial" w:hAnsi="Arial" w:cs="Arial"/>
                <w:sz w:val="20"/>
                <w:szCs w:val="20"/>
              </w:rPr>
              <w:t xml:space="preserve">reported </w:t>
            </w:r>
            <w:r w:rsidR="64B40443" w:rsidRPr="5E142495">
              <w:rPr>
                <w:rFonts w:ascii="Arial" w:hAnsi="Arial" w:cs="Arial"/>
                <w:sz w:val="20"/>
                <w:szCs w:val="20"/>
              </w:rPr>
              <w:t>that their i</w:t>
            </w:r>
            <w:r w:rsidR="5B0A26C1" w:rsidRPr="5E142495">
              <w:rPr>
                <w:rFonts w:ascii="Arial" w:hAnsi="Arial" w:cs="Arial"/>
                <w:sz w:val="20"/>
                <w:szCs w:val="20"/>
              </w:rPr>
              <w:t xml:space="preserve">nternet access was </w:t>
            </w:r>
            <w:r w:rsidR="1E13A7DC" w:rsidRPr="5E142495">
              <w:rPr>
                <w:rFonts w:ascii="Arial" w:hAnsi="Arial" w:cs="Arial"/>
                <w:sz w:val="20"/>
                <w:szCs w:val="20"/>
              </w:rPr>
              <w:t>unavailable for more than two weeks.</w:t>
            </w:r>
            <w:r w:rsidR="00B55142" w:rsidRPr="5E142495">
              <w:rPr>
                <w:rStyle w:val="FootnoteReference"/>
                <w:rFonts w:ascii="Arial" w:hAnsi="Arial" w:cs="Arial"/>
                <w:sz w:val="20"/>
                <w:szCs w:val="20"/>
              </w:rPr>
              <w:footnoteReference w:id="7"/>
            </w:r>
          </w:p>
          <w:p w14:paraId="1B6BC655" w14:textId="5498A091" w:rsidR="003257EC" w:rsidRPr="0076798C" w:rsidRDefault="66A8AF24" w:rsidP="5E142495">
            <w:pPr>
              <w:spacing w:before="120" w:after="120"/>
              <w:rPr>
                <w:rFonts w:ascii="Arial" w:hAnsi="Arial" w:cs="Arial"/>
                <w:b/>
                <w:bCs/>
                <w:sz w:val="20"/>
                <w:szCs w:val="20"/>
              </w:rPr>
            </w:pPr>
            <w:r w:rsidRPr="5E142495">
              <w:rPr>
                <w:rFonts w:ascii="Arial" w:hAnsi="Arial" w:cs="Arial"/>
                <w:sz w:val="20"/>
                <w:szCs w:val="20"/>
              </w:rPr>
              <w:t>C</w:t>
            </w:r>
            <w:r w:rsidR="48F30D91" w:rsidRPr="5E142495">
              <w:rPr>
                <w:rFonts w:ascii="Arial" w:hAnsi="Arial" w:cs="Arial"/>
                <w:sz w:val="20"/>
                <w:szCs w:val="20"/>
              </w:rPr>
              <w:t xml:space="preserve">ritical infrastructure </w:t>
            </w:r>
            <w:r w:rsidR="6A7326B0" w:rsidRPr="5E142495">
              <w:rPr>
                <w:rFonts w:ascii="Arial" w:hAnsi="Arial" w:cs="Arial"/>
                <w:sz w:val="20"/>
                <w:szCs w:val="20"/>
              </w:rPr>
              <w:t xml:space="preserve">throughout </w:t>
            </w:r>
            <w:r w:rsidR="48F30D91" w:rsidRPr="5E142495">
              <w:rPr>
                <w:rFonts w:ascii="Arial" w:hAnsi="Arial" w:cs="Arial"/>
                <w:sz w:val="20"/>
                <w:szCs w:val="20"/>
              </w:rPr>
              <w:t>Europe</w:t>
            </w:r>
            <w:r w:rsidR="5B3DF8EA" w:rsidRPr="5E142495">
              <w:rPr>
                <w:rFonts w:ascii="Arial" w:hAnsi="Arial" w:cs="Arial"/>
                <w:sz w:val="20"/>
                <w:szCs w:val="20"/>
              </w:rPr>
              <w:t xml:space="preserve"> was impacted, including </w:t>
            </w:r>
            <w:r w:rsidR="48F30D91" w:rsidRPr="5E142495">
              <w:rPr>
                <w:rFonts w:ascii="Arial" w:hAnsi="Arial" w:cs="Arial"/>
                <w:sz w:val="20"/>
                <w:szCs w:val="20"/>
              </w:rPr>
              <w:t>a German energy company who lost remote monitoring access to over 5,800 wind turbines</w:t>
            </w:r>
            <w:r w:rsidR="5B3DF8EA" w:rsidRPr="5E142495">
              <w:rPr>
                <w:rFonts w:ascii="Arial" w:hAnsi="Arial" w:cs="Arial"/>
                <w:sz w:val="20"/>
                <w:szCs w:val="20"/>
              </w:rPr>
              <w:t>. I</w:t>
            </w:r>
            <w:r w:rsidR="48F30D91" w:rsidRPr="5E142495">
              <w:rPr>
                <w:rFonts w:ascii="Arial" w:hAnsi="Arial" w:cs="Arial"/>
                <w:sz w:val="20"/>
                <w:szCs w:val="20"/>
              </w:rPr>
              <w:t>n France</w:t>
            </w:r>
            <w:r w:rsidR="5B3DF8EA" w:rsidRPr="5E142495">
              <w:rPr>
                <w:rFonts w:ascii="Arial" w:hAnsi="Arial" w:cs="Arial"/>
                <w:sz w:val="20"/>
                <w:szCs w:val="20"/>
              </w:rPr>
              <w:t>,</w:t>
            </w:r>
            <w:r w:rsidR="48F30D91" w:rsidRPr="5E142495">
              <w:rPr>
                <w:rFonts w:ascii="Arial" w:hAnsi="Arial" w:cs="Arial"/>
                <w:sz w:val="20"/>
                <w:szCs w:val="20"/>
              </w:rPr>
              <w:t xml:space="preserve"> nearly 9,000 subscribers of a satellite internet service provider experienced </w:t>
            </w:r>
            <w:r w:rsidR="5B3DF8EA" w:rsidRPr="5E142495">
              <w:rPr>
                <w:rFonts w:ascii="Arial" w:hAnsi="Arial" w:cs="Arial"/>
                <w:sz w:val="20"/>
                <w:szCs w:val="20"/>
              </w:rPr>
              <w:t>o</w:t>
            </w:r>
            <w:r w:rsidR="48F30D91" w:rsidRPr="5E142495">
              <w:rPr>
                <w:rFonts w:ascii="Arial" w:hAnsi="Arial" w:cs="Arial"/>
                <w:sz w:val="20"/>
                <w:szCs w:val="20"/>
              </w:rPr>
              <w:t>utage</w:t>
            </w:r>
            <w:r w:rsidR="5B3DF8EA" w:rsidRPr="5E142495">
              <w:rPr>
                <w:rFonts w:ascii="Arial" w:hAnsi="Arial" w:cs="Arial"/>
                <w:sz w:val="20"/>
                <w:szCs w:val="20"/>
              </w:rPr>
              <w:t>s</w:t>
            </w:r>
            <w:r w:rsidR="48F30D91" w:rsidRPr="5E142495">
              <w:rPr>
                <w:rFonts w:ascii="Arial" w:hAnsi="Arial" w:cs="Arial"/>
                <w:sz w:val="20"/>
                <w:szCs w:val="20"/>
              </w:rPr>
              <w:t xml:space="preserve">. </w:t>
            </w:r>
            <w:r w:rsidR="6A201CFF" w:rsidRPr="5E142495">
              <w:rPr>
                <w:rFonts w:ascii="Arial" w:hAnsi="Arial" w:cs="Arial"/>
                <w:sz w:val="20"/>
                <w:szCs w:val="20"/>
              </w:rPr>
              <w:t xml:space="preserve">An additional </w:t>
            </w:r>
            <w:r w:rsidR="48F30D91" w:rsidRPr="5E142495">
              <w:rPr>
                <w:rFonts w:ascii="Arial" w:hAnsi="Arial" w:cs="Arial"/>
                <w:sz w:val="20"/>
                <w:szCs w:val="20"/>
              </w:rPr>
              <w:t>13</w:t>
            </w:r>
            <w:r w:rsidR="5B3DF8EA" w:rsidRPr="5E142495">
              <w:rPr>
                <w:rFonts w:ascii="Arial" w:hAnsi="Arial" w:cs="Arial"/>
                <w:sz w:val="20"/>
                <w:szCs w:val="20"/>
              </w:rPr>
              <w:t>,</w:t>
            </w:r>
            <w:r w:rsidR="48F30D91" w:rsidRPr="5E142495">
              <w:rPr>
                <w:rFonts w:ascii="Arial" w:hAnsi="Arial" w:cs="Arial"/>
                <w:sz w:val="20"/>
                <w:szCs w:val="20"/>
              </w:rPr>
              <w:t>000 subscribers of other satellite internet service provider</w:t>
            </w:r>
            <w:r w:rsidR="6A201CFF" w:rsidRPr="5E142495">
              <w:rPr>
                <w:rFonts w:ascii="Arial" w:hAnsi="Arial" w:cs="Arial"/>
                <w:sz w:val="20"/>
                <w:szCs w:val="20"/>
              </w:rPr>
              <w:t xml:space="preserve">s across </w:t>
            </w:r>
            <w:r w:rsidR="48F30D91" w:rsidRPr="5E142495">
              <w:rPr>
                <w:rFonts w:ascii="Arial" w:hAnsi="Arial" w:cs="Arial"/>
                <w:sz w:val="20"/>
                <w:szCs w:val="20"/>
              </w:rPr>
              <w:t xml:space="preserve">Hungary, Greece, Italy, </w:t>
            </w:r>
            <w:r w:rsidR="00723608">
              <w:rPr>
                <w:rFonts w:ascii="Arial" w:hAnsi="Arial" w:cs="Arial"/>
                <w:sz w:val="20"/>
                <w:szCs w:val="20"/>
              </w:rPr>
              <w:t xml:space="preserve">and </w:t>
            </w:r>
            <w:r w:rsidR="48F30D91" w:rsidRPr="5E142495">
              <w:rPr>
                <w:rFonts w:ascii="Arial" w:hAnsi="Arial" w:cs="Arial"/>
                <w:sz w:val="20"/>
                <w:szCs w:val="20"/>
              </w:rPr>
              <w:t xml:space="preserve">Poland were affected. </w:t>
            </w:r>
          </w:p>
        </w:tc>
      </w:tr>
      <w:tr w:rsidR="003257EC" w14:paraId="39ECB8D9" w14:textId="77777777" w:rsidTr="5E142495">
        <w:tc>
          <w:tcPr>
            <w:tcW w:w="9016" w:type="dxa"/>
            <w:gridSpan w:val="2"/>
            <w:tcBorders>
              <w:top w:val="single" w:sz="4" w:space="0" w:color="BFBFBF" w:themeColor="background1" w:themeShade="BF"/>
              <w:left w:val="nil"/>
              <w:bottom w:val="single" w:sz="4" w:space="0" w:color="BFBFBF" w:themeColor="background1" w:themeShade="BF"/>
              <w:right w:val="nil"/>
            </w:tcBorders>
            <w:vAlign w:val="center"/>
          </w:tcPr>
          <w:p w14:paraId="0EAA64E1" w14:textId="384ACDCC" w:rsidR="003257EC" w:rsidRPr="0076798C" w:rsidRDefault="48F30D91" w:rsidP="5E142495">
            <w:pPr>
              <w:spacing w:before="120" w:after="120"/>
              <w:rPr>
                <w:rFonts w:ascii="Arial" w:hAnsi="Arial" w:cs="Arial"/>
                <w:b/>
                <w:bCs/>
                <w:sz w:val="20"/>
                <w:szCs w:val="20"/>
              </w:rPr>
            </w:pPr>
            <w:r w:rsidRPr="5E142495">
              <w:rPr>
                <w:rFonts w:ascii="Arial" w:hAnsi="Arial" w:cs="Arial"/>
                <w:b/>
                <w:bCs/>
                <w:sz w:val="20"/>
                <w:szCs w:val="20"/>
              </w:rPr>
              <w:t xml:space="preserve">Identified Gap: </w:t>
            </w:r>
            <w:r w:rsidR="7BE64F6B" w:rsidRPr="5E142495">
              <w:rPr>
                <w:rFonts w:ascii="Arial" w:hAnsi="Arial" w:cs="Arial"/>
                <w:sz w:val="20"/>
                <w:szCs w:val="20"/>
              </w:rPr>
              <w:t xml:space="preserve">This case study demonstrates the </w:t>
            </w:r>
            <w:r w:rsidR="68D2A391" w:rsidRPr="5E142495">
              <w:rPr>
                <w:rFonts w:ascii="Arial" w:hAnsi="Arial" w:cs="Arial"/>
                <w:sz w:val="20"/>
                <w:szCs w:val="20"/>
              </w:rPr>
              <w:t xml:space="preserve">need for regulation to consider </w:t>
            </w:r>
            <w:r w:rsidR="0A7F3FC6" w:rsidRPr="5E142495">
              <w:rPr>
                <w:rFonts w:ascii="Arial" w:hAnsi="Arial" w:cs="Arial"/>
                <w:sz w:val="20"/>
                <w:szCs w:val="20"/>
              </w:rPr>
              <w:t>all hazards, including from malicious actors</w:t>
            </w:r>
            <w:r w:rsidR="00467AA2" w:rsidRPr="5E142495">
              <w:rPr>
                <w:rFonts w:ascii="Arial" w:hAnsi="Arial" w:cs="Arial"/>
                <w:sz w:val="20"/>
                <w:szCs w:val="20"/>
              </w:rPr>
              <w:t xml:space="preserve"> </w:t>
            </w:r>
            <w:r w:rsidR="0A7F3FC6" w:rsidRPr="5E142495">
              <w:rPr>
                <w:rFonts w:ascii="Arial" w:hAnsi="Arial" w:cs="Arial"/>
                <w:sz w:val="20"/>
                <w:szCs w:val="20"/>
              </w:rPr>
              <w:t>that could disrupt a network.</w:t>
            </w:r>
            <w:r w:rsidR="18C0E11C" w:rsidRPr="5E142495">
              <w:rPr>
                <w:rFonts w:ascii="Arial" w:hAnsi="Arial" w:cs="Arial"/>
                <w:sz w:val="20"/>
                <w:szCs w:val="20"/>
              </w:rPr>
              <w:t xml:space="preserve"> Telecommunications assets should be required to anticipate and respond to disruption by malicious actors, including </w:t>
            </w:r>
            <w:r w:rsidR="6B22DDB2" w:rsidRPr="5E142495">
              <w:rPr>
                <w:rFonts w:ascii="Arial" w:hAnsi="Arial" w:cs="Arial"/>
                <w:sz w:val="20"/>
                <w:szCs w:val="20"/>
              </w:rPr>
              <w:t xml:space="preserve">undertaking </w:t>
            </w:r>
            <w:r w:rsidR="18C0E11C" w:rsidRPr="5E142495">
              <w:rPr>
                <w:rFonts w:ascii="Arial" w:hAnsi="Arial" w:cs="Arial"/>
                <w:sz w:val="20"/>
                <w:szCs w:val="20"/>
              </w:rPr>
              <w:t>risk management</w:t>
            </w:r>
            <w:r w:rsidR="6B22DDB2" w:rsidRPr="5E142495">
              <w:rPr>
                <w:rFonts w:ascii="Arial" w:hAnsi="Arial" w:cs="Arial"/>
                <w:sz w:val="20"/>
                <w:szCs w:val="20"/>
              </w:rPr>
              <w:t xml:space="preserve"> activities which may prevent or mitigate flow on impacts. </w:t>
            </w:r>
          </w:p>
        </w:tc>
      </w:tr>
      <w:tr w:rsidR="0005336A" w14:paraId="0BD48D03" w14:textId="77777777" w:rsidTr="5E142495">
        <w:tc>
          <w:tcPr>
            <w:tcW w:w="9016" w:type="dxa"/>
            <w:gridSpan w:val="2"/>
            <w:tcBorders>
              <w:top w:val="single" w:sz="4" w:space="0" w:color="BFBFBF" w:themeColor="background1" w:themeShade="BF"/>
              <w:left w:val="nil"/>
              <w:bottom w:val="single" w:sz="4" w:space="0" w:color="BFBFBF" w:themeColor="background1" w:themeShade="BF"/>
              <w:right w:val="nil"/>
            </w:tcBorders>
            <w:vAlign w:val="center"/>
          </w:tcPr>
          <w:p w14:paraId="70EE94EF" w14:textId="77777777" w:rsidR="0005336A" w:rsidRPr="0076798C" w:rsidRDefault="0005336A" w:rsidP="0079597C">
            <w:pPr>
              <w:rPr>
                <w:rFonts w:ascii="Arial" w:hAnsi="Arial" w:cs="Arial"/>
                <w:b/>
                <w:bCs/>
                <w:sz w:val="20"/>
                <w:szCs w:val="20"/>
              </w:rPr>
            </w:pPr>
          </w:p>
        </w:tc>
      </w:tr>
      <w:tr w:rsidR="003913AA" w:rsidRPr="00AD4610" w14:paraId="66B8DC72" w14:textId="77777777" w:rsidTr="5E142495">
        <w:trPr>
          <w:trHeight w:val="694"/>
        </w:trPr>
        <w:tc>
          <w:tcPr>
            <w:tcW w:w="6379" w:type="dxa"/>
            <w:tcBorders>
              <w:top w:val="nil"/>
              <w:left w:val="nil"/>
              <w:bottom w:val="single" w:sz="4" w:space="0" w:color="A5A5A5" w:themeColor="accent3"/>
              <w:right w:val="nil"/>
            </w:tcBorders>
            <w:shd w:val="clear" w:color="auto" w:fill="284B98"/>
            <w:vAlign w:val="center"/>
          </w:tcPr>
          <w:p w14:paraId="748AAD73" w14:textId="271297CC" w:rsidR="003913AA" w:rsidRPr="00306021" w:rsidRDefault="00CF5773" w:rsidP="00306021">
            <w:pPr>
              <w:spacing w:before="120" w:after="120"/>
              <w:rPr>
                <w:rFonts w:ascii="Arial" w:hAnsi="Arial" w:cs="Arial"/>
                <w:b/>
                <w:color w:val="FFFFFF" w:themeColor="background1"/>
                <w:sz w:val="20"/>
                <w:szCs w:val="20"/>
              </w:rPr>
            </w:pPr>
            <w:r w:rsidRPr="00306021">
              <w:rPr>
                <w:rFonts w:ascii="Arial" w:hAnsi="Arial" w:cs="Arial"/>
                <w:b/>
                <w:color w:val="FFFFFF" w:themeColor="background1"/>
                <w:sz w:val="20"/>
                <w:szCs w:val="20"/>
              </w:rPr>
              <w:t xml:space="preserve">2019-2020 Bushfires </w:t>
            </w:r>
            <w:r w:rsidR="00CE5815" w:rsidRPr="00306021">
              <w:rPr>
                <w:rFonts w:ascii="Arial" w:hAnsi="Arial" w:cs="Arial"/>
                <w:b/>
                <w:bCs/>
                <w:color w:val="FFFFFF" w:themeColor="background1"/>
                <w:sz w:val="20"/>
                <w:szCs w:val="20"/>
              </w:rPr>
              <w:t>I</w:t>
            </w:r>
            <w:r w:rsidRPr="00306021">
              <w:rPr>
                <w:rFonts w:ascii="Arial" w:hAnsi="Arial" w:cs="Arial"/>
                <w:b/>
                <w:bCs/>
                <w:color w:val="FFFFFF" w:themeColor="background1"/>
                <w:sz w:val="20"/>
                <w:szCs w:val="20"/>
              </w:rPr>
              <w:t>mpact</w:t>
            </w:r>
            <w:r w:rsidRPr="00306021">
              <w:rPr>
                <w:rFonts w:ascii="Arial" w:hAnsi="Arial" w:cs="Arial"/>
                <w:b/>
                <w:color w:val="FFFFFF" w:themeColor="background1"/>
                <w:sz w:val="20"/>
                <w:szCs w:val="20"/>
              </w:rPr>
              <w:t xml:space="preserve"> on </w:t>
            </w:r>
            <w:r w:rsidR="00CE5815" w:rsidRPr="00306021">
              <w:rPr>
                <w:rFonts w:ascii="Arial" w:hAnsi="Arial" w:cs="Arial"/>
                <w:b/>
                <w:bCs/>
                <w:color w:val="FFFFFF" w:themeColor="background1"/>
                <w:sz w:val="20"/>
                <w:szCs w:val="20"/>
              </w:rPr>
              <w:t>M</w:t>
            </w:r>
            <w:r w:rsidRPr="00306021">
              <w:rPr>
                <w:rFonts w:ascii="Arial" w:hAnsi="Arial" w:cs="Arial"/>
                <w:b/>
                <w:bCs/>
                <w:color w:val="FFFFFF" w:themeColor="background1"/>
                <w:sz w:val="20"/>
                <w:szCs w:val="20"/>
              </w:rPr>
              <w:t>ajor</w:t>
            </w:r>
            <w:r w:rsidRPr="00306021">
              <w:rPr>
                <w:rFonts w:ascii="Arial" w:hAnsi="Arial" w:cs="Arial"/>
                <w:b/>
                <w:color w:val="FFFFFF" w:themeColor="background1"/>
                <w:sz w:val="20"/>
                <w:szCs w:val="20"/>
              </w:rPr>
              <w:t xml:space="preserve"> Australian Telecommunication Networks</w:t>
            </w:r>
          </w:p>
        </w:tc>
        <w:tc>
          <w:tcPr>
            <w:tcW w:w="2637" w:type="dxa"/>
            <w:tcBorders>
              <w:top w:val="nil"/>
              <w:left w:val="nil"/>
              <w:bottom w:val="single" w:sz="4" w:space="0" w:color="A5A5A5" w:themeColor="accent3"/>
              <w:right w:val="nil"/>
            </w:tcBorders>
            <w:shd w:val="clear" w:color="auto" w:fill="4472C4" w:themeFill="accent1"/>
            <w:vAlign w:val="center"/>
          </w:tcPr>
          <w:p w14:paraId="072D0F84" w14:textId="73C1F495" w:rsidR="003913AA" w:rsidRPr="00306021" w:rsidRDefault="00F533C2" w:rsidP="00306021">
            <w:pPr>
              <w:spacing w:before="120" w:after="120"/>
              <w:rPr>
                <w:rFonts w:ascii="Arial" w:hAnsi="Arial" w:cs="Arial"/>
                <w:b/>
                <w:color w:val="FFFFFF" w:themeColor="background1"/>
                <w:sz w:val="20"/>
                <w:szCs w:val="20"/>
              </w:rPr>
            </w:pPr>
            <w:r w:rsidRPr="00306021">
              <w:rPr>
                <w:rFonts w:ascii="Arial" w:hAnsi="Arial" w:cs="Arial"/>
                <w:b/>
                <w:color w:val="FFFFFF" w:themeColor="background1"/>
                <w:sz w:val="20"/>
                <w:szCs w:val="20"/>
              </w:rPr>
              <w:t>Natural Hazard</w:t>
            </w:r>
          </w:p>
        </w:tc>
      </w:tr>
      <w:tr w:rsidR="003913AA" w:rsidRPr="00AD4610" w14:paraId="2D1DB17C"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tcPr>
          <w:p w14:paraId="5CEDE2AB" w14:textId="20CFD3BC" w:rsidR="008F005D" w:rsidRPr="00306021" w:rsidRDefault="241EEB20" w:rsidP="00723608">
            <w:pPr>
              <w:spacing w:before="120" w:after="120"/>
              <w:rPr>
                <w:rFonts w:ascii="Arial" w:hAnsi="Arial" w:cs="Arial"/>
                <w:b/>
                <w:bCs/>
                <w:sz w:val="20"/>
                <w:szCs w:val="20"/>
              </w:rPr>
            </w:pPr>
            <w:r w:rsidRPr="5E142495">
              <w:rPr>
                <w:rFonts w:ascii="Arial" w:hAnsi="Arial" w:cs="Arial"/>
                <w:b/>
                <w:bCs/>
                <w:sz w:val="20"/>
                <w:szCs w:val="20"/>
              </w:rPr>
              <w:t>Situation</w:t>
            </w:r>
            <w:r w:rsidRPr="5E142495">
              <w:rPr>
                <w:rFonts w:ascii="Arial" w:hAnsi="Arial" w:cs="Arial"/>
                <w:sz w:val="20"/>
                <w:szCs w:val="20"/>
              </w:rPr>
              <w:t>:</w:t>
            </w:r>
            <w:r w:rsidR="17981FD4" w:rsidRPr="5E142495">
              <w:rPr>
                <w:rFonts w:ascii="Arial" w:hAnsi="Arial" w:cs="Arial"/>
                <w:sz w:val="20"/>
                <w:szCs w:val="20"/>
              </w:rPr>
              <w:t xml:space="preserve">  </w:t>
            </w:r>
            <w:r w:rsidR="482717CD" w:rsidRPr="5E142495">
              <w:rPr>
                <w:rFonts w:ascii="Arial" w:hAnsi="Arial" w:cs="Arial"/>
                <w:sz w:val="20"/>
                <w:szCs w:val="20"/>
              </w:rPr>
              <w:t>In</w:t>
            </w:r>
            <w:r w:rsidR="402774B6" w:rsidRPr="5E142495">
              <w:rPr>
                <w:rFonts w:ascii="Arial" w:hAnsi="Arial" w:cs="Arial"/>
                <w:sz w:val="20"/>
                <w:szCs w:val="20"/>
              </w:rPr>
              <w:t xml:space="preserve"> 2019–20</w:t>
            </w:r>
            <w:r w:rsidR="7D5BC6E8" w:rsidRPr="5E142495">
              <w:rPr>
                <w:rFonts w:ascii="Arial" w:hAnsi="Arial" w:cs="Arial"/>
                <w:sz w:val="20"/>
                <w:szCs w:val="20"/>
              </w:rPr>
              <w:t>,</w:t>
            </w:r>
            <w:r w:rsidR="402774B6" w:rsidRPr="5E142495">
              <w:rPr>
                <w:rFonts w:ascii="Arial" w:hAnsi="Arial" w:cs="Arial"/>
                <w:sz w:val="20"/>
                <w:szCs w:val="20"/>
              </w:rPr>
              <w:t xml:space="preserve"> unprecedented fires swep</w:t>
            </w:r>
            <w:r w:rsidR="04111A3E" w:rsidRPr="5E142495">
              <w:rPr>
                <w:rFonts w:ascii="Arial" w:hAnsi="Arial" w:cs="Arial"/>
                <w:sz w:val="20"/>
                <w:szCs w:val="20"/>
              </w:rPr>
              <w:t>t</w:t>
            </w:r>
            <w:r w:rsidR="402774B6" w:rsidRPr="5E142495">
              <w:rPr>
                <w:rFonts w:ascii="Arial" w:hAnsi="Arial" w:cs="Arial"/>
                <w:sz w:val="20"/>
                <w:szCs w:val="20"/>
              </w:rPr>
              <w:t xml:space="preserve"> across</w:t>
            </w:r>
            <w:r w:rsidR="733FC7DC" w:rsidRPr="5E142495">
              <w:rPr>
                <w:rFonts w:ascii="Arial" w:hAnsi="Arial" w:cs="Arial"/>
                <w:sz w:val="20"/>
                <w:szCs w:val="20"/>
              </w:rPr>
              <w:t xml:space="preserve"> </w:t>
            </w:r>
            <w:r w:rsidR="0B6BC685" w:rsidRPr="5E142495">
              <w:rPr>
                <w:rFonts w:ascii="Arial" w:hAnsi="Arial" w:cs="Arial"/>
                <w:sz w:val="20"/>
                <w:szCs w:val="20"/>
              </w:rPr>
              <w:t>Australia’s s</w:t>
            </w:r>
            <w:r w:rsidR="6443B277" w:rsidRPr="5E142495">
              <w:rPr>
                <w:rFonts w:ascii="Arial" w:hAnsi="Arial" w:cs="Arial"/>
                <w:sz w:val="20"/>
                <w:szCs w:val="20"/>
              </w:rPr>
              <w:t xml:space="preserve">outh-east </w:t>
            </w:r>
            <w:r w:rsidR="733FC7DC" w:rsidRPr="5E142495">
              <w:rPr>
                <w:rFonts w:ascii="Arial" w:hAnsi="Arial" w:cs="Arial"/>
                <w:sz w:val="20"/>
                <w:szCs w:val="20"/>
              </w:rPr>
              <w:t>coast</w:t>
            </w:r>
            <w:r w:rsidR="24BC2422" w:rsidRPr="5E142495">
              <w:rPr>
                <w:rFonts w:ascii="Arial" w:hAnsi="Arial" w:cs="Arial"/>
                <w:sz w:val="20"/>
                <w:szCs w:val="20"/>
              </w:rPr>
              <w:t xml:space="preserve">. The fires </w:t>
            </w:r>
            <w:r w:rsidR="402774B6" w:rsidRPr="5E142495">
              <w:rPr>
                <w:rFonts w:ascii="Arial" w:hAnsi="Arial" w:cs="Arial"/>
                <w:sz w:val="20"/>
                <w:szCs w:val="20"/>
              </w:rPr>
              <w:t>impact</w:t>
            </w:r>
            <w:r w:rsidR="08507982" w:rsidRPr="5E142495">
              <w:rPr>
                <w:rFonts w:ascii="Arial" w:hAnsi="Arial" w:cs="Arial"/>
                <w:sz w:val="20"/>
                <w:szCs w:val="20"/>
              </w:rPr>
              <w:t>ed</w:t>
            </w:r>
            <w:r w:rsidR="402774B6" w:rsidRPr="5E142495">
              <w:rPr>
                <w:rFonts w:ascii="Arial" w:hAnsi="Arial" w:cs="Arial"/>
                <w:sz w:val="20"/>
                <w:szCs w:val="20"/>
              </w:rPr>
              <w:t xml:space="preserve"> many communities</w:t>
            </w:r>
            <w:r w:rsidR="04111A3E" w:rsidRPr="5E142495">
              <w:rPr>
                <w:rFonts w:ascii="Arial" w:hAnsi="Arial" w:cs="Arial"/>
                <w:sz w:val="20"/>
                <w:szCs w:val="20"/>
              </w:rPr>
              <w:t xml:space="preserve"> and critical services, including</w:t>
            </w:r>
            <w:r w:rsidR="3F17A33D" w:rsidRPr="5E142495">
              <w:rPr>
                <w:rFonts w:ascii="Arial" w:hAnsi="Arial" w:cs="Arial"/>
                <w:sz w:val="20"/>
                <w:szCs w:val="20"/>
              </w:rPr>
              <w:t xml:space="preserve"> </w:t>
            </w:r>
            <w:r w:rsidR="382C3536" w:rsidRPr="5E142495">
              <w:rPr>
                <w:rFonts w:ascii="Arial" w:hAnsi="Arial" w:cs="Arial"/>
                <w:sz w:val="20"/>
                <w:szCs w:val="20"/>
              </w:rPr>
              <w:t xml:space="preserve">telecommunications. </w:t>
            </w:r>
            <w:r w:rsidR="5742240B" w:rsidRPr="5E142495">
              <w:rPr>
                <w:rFonts w:ascii="Arial" w:hAnsi="Arial" w:cs="Arial"/>
                <w:sz w:val="20"/>
                <w:szCs w:val="20"/>
              </w:rPr>
              <w:t xml:space="preserve">These disruptions </w:t>
            </w:r>
            <w:r w:rsidR="57D6FF9B" w:rsidRPr="5E142495">
              <w:rPr>
                <w:rFonts w:ascii="Arial" w:hAnsi="Arial" w:cs="Arial"/>
                <w:sz w:val="20"/>
                <w:szCs w:val="20"/>
              </w:rPr>
              <w:t xml:space="preserve">created significant </w:t>
            </w:r>
            <w:r w:rsidR="5742240B" w:rsidRPr="5E142495">
              <w:rPr>
                <w:rFonts w:ascii="Arial" w:hAnsi="Arial" w:cs="Arial"/>
                <w:sz w:val="20"/>
                <w:szCs w:val="20"/>
              </w:rPr>
              <w:t xml:space="preserve">challenges for individuals and communities seeking emergency assistance and </w:t>
            </w:r>
            <w:r w:rsidR="57D6FF9B" w:rsidRPr="5E142495">
              <w:rPr>
                <w:rFonts w:ascii="Arial" w:hAnsi="Arial" w:cs="Arial"/>
                <w:sz w:val="20"/>
                <w:szCs w:val="20"/>
              </w:rPr>
              <w:t xml:space="preserve">access to </w:t>
            </w:r>
            <w:r w:rsidR="5742240B" w:rsidRPr="5E142495">
              <w:rPr>
                <w:rFonts w:ascii="Arial" w:hAnsi="Arial" w:cs="Arial"/>
                <w:sz w:val="20"/>
                <w:szCs w:val="20"/>
              </w:rPr>
              <w:t>Government</w:t>
            </w:r>
            <w:r w:rsidR="57D6FF9B" w:rsidRPr="5E142495">
              <w:rPr>
                <w:rFonts w:ascii="Arial" w:hAnsi="Arial" w:cs="Arial"/>
                <w:sz w:val="20"/>
                <w:szCs w:val="20"/>
              </w:rPr>
              <w:t xml:space="preserve">-issued emergency alerts, as well as </w:t>
            </w:r>
            <w:r w:rsidR="00820E0F" w:rsidRPr="5E142495">
              <w:rPr>
                <w:rFonts w:ascii="Arial" w:hAnsi="Arial" w:cs="Arial"/>
                <w:sz w:val="20"/>
                <w:szCs w:val="20"/>
              </w:rPr>
              <w:t>general welfare communications.</w:t>
            </w:r>
            <w:r w:rsidR="00071A37" w:rsidRPr="5E142495">
              <w:rPr>
                <w:rStyle w:val="FootnoteReference"/>
                <w:rFonts w:ascii="Arial" w:hAnsi="Arial" w:cs="Arial"/>
                <w:sz w:val="20"/>
                <w:szCs w:val="20"/>
              </w:rPr>
              <w:footnoteReference w:id="8"/>
            </w:r>
            <w:r w:rsidR="382C3536" w:rsidRPr="5E142495">
              <w:rPr>
                <w:rFonts w:ascii="Arial" w:hAnsi="Arial" w:cs="Arial"/>
                <w:sz w:val="20"/>
                <w:szCs w:val="20"/>
              </w:rPr>
              <w:t xml:space="preserve"> </w:t>
            </w:r>
          </w:p>
        </w:tc>
      </w:tr>
      <w:tr w:rsidR="003913AA" w:rsidRPr="00AD4610" w14:paraId="03334FF3"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E7E6E6" w:themeFill="background2"/>
          </w:tcPr>
          <w:p w14:paraId="672EA315" w14:textId="386301E4" w:rsidR="00A74C02" w:rsidRPr="00306021" w:rsidRDefault="285BCFFF" w:rsidP="00723608">
            <w:pPr>
              <w:spacing w:before="120" w:after="120"/>
              <w:rPr>
                <w:rFonts w:ascii="Arial" w:hAnsi="Arial" w:cs="Arial"/>
                <w:sz w:val="20"/>
                <w:szCs w:val="20"/>
              </w:rPr>
            </w:pPr>
            <w:r w:rsidRPr="5E142495">
              <w:rPr>
                <w:rFonts w:ascii="Arial" w:hAnsi="Arial" w:cs="Arial"/>
                <w:b/>
                <w:bCs/>
                <w:sz w:val="20"/>
                <w:szCs w:val="20"/>
              </w:rPr>
              <w:t>Outcome:</w:t>
            </w:r>
            <w:r w:rsidR="28490A4E" w:rsidRPr="5E142495">
              <w:rPr>
                <w:rFonts w:ascii="Arial" w:hAnsi="Arial" w:cs="Arial"/>
                <w:b/>
                <w:bCs/>
                <w:sz w:val="20"/>
                <w:szCs w:val="20"/>
              </w:rPr>
              <w:t xml:space="preserve"> </w:t>
            </w:r>
            <w:r w:rsidR="44807BB9" w:rsidRPr="5E142495">
              <w:rPr>
                <w:rFonts w:ascii="Arial" w:hAnsi="Arial" w:cs="Arial"/>
                <w:sz w:val="20"/>
                <w:szCs w:val="20"/>
              </w:rPr>
              <w:t xml:space="preserve">The </w:t>
            </w:r>
            <w:r w:rsidR="76303FBC" w:rsidRPr="5E142495">
              <w:rPr>
                <w:rFonts w:ascii="Arial" w:hAnsi="Arial" w:cs="Arial"/>
                <w:sz w:val="20"/>
                <w:szCs w:val="20"/>
              </w:rPr>
              <w:t xml:space="preserve">magnitude of the </w:t>
            </w:r>
            <w:r w:rsidR="4BB39B6C" w:rsidRPr="5E142495">
              <w:rPr>
                <w:rFonts w:ascii="Arial" w:hAnsi="Arial" w:cs="Arial"/>
                <w:sz w:val="20"/>
                <w:szCs w:val="20"/>
              </w:rPr>
              <w:t xml:space="preserve">fires saw significant </w:t>
            </w:r>
            <w:r w:rsidR="2AB9D32B" w:rsidRPr="5E142495">
              <w:rPr>
                <w:rFonts w:ascii="Arial" w:hAnsi="Arial" w:cs="Arial"/>
                <w:sz w:val="20"/>
                <w:szCs w:val="20"/>
              </w:rPr>
              <w:t>damage to physical</w:t>
            </w:r>
            <w:r w:rsidR="44807BB9" w:rsidRPr="5E142495">
              <w:rPr>
                <w:rFonts w:ascii="Arial" w:hAnsi="Arial" w:cs="Arial"/>
                <w:sz w:val="20"/>
                <w:szCs w:val="20"/>
              </w:rPr>
              <w:t xml:space="preserve"> </w:t>
            </w:r>
            <w:r w:rsidR="13BACA7B" w:rsidRPr="5E142495">
              <w:rPr>
                <w:rFonts w:ascii="Arial" w:hAnsi="Arial" w:cs="Arial"/>
                <w:sz w:val="20"/>
                <w:szCs w:val="20"/>
              </w:rPr>
              <w:t>tele</w:t>
            </w:r>
            <w:r w:rsidR="44807BB9" w:rsidRPr="5E142495">
              <w:rPr>
                <w:rFonts w:ascii="Arial" w:hAnsi="Arial" w:cs="Arial"/>
                <w:sz w:val="20"/>
                <w:szCs w:val="20"/>
              </w:rPr>
              <w:t xml:space="preserve">communications </w:t>
            </w:r>
            <w:r w:rsidR="2AB9D32B" w:rsidRPr="5E142495">
              <w:rPr>
                <w:rFonts w:ascii="Arial" w:hAnsi="Arial" w:cs="Arial"/>
                <w:sz w:val="20"/>
                <w:szCs w:val="20"/>
              </w:rPr>
              <w:t xml:space="preserve">assets. </w:t>
            </w:r>
            <w:r w:rsidR="3B60AB72" w:rsidRPr="5E142495">
              <w:rPr>
                <w:rFonts w:ascii="Arial" w:hAnsi="Arial" w:cs="Arial"/>
                <w:sz w:val="20"/>
                <w:szCs w:val="20"/>
              </w:rPr>
              <w:t>It was reported that 1,3</w:t>
            </w:r>
            <w:r w:rsidR="3E3CD060" w:rsidRPr="5E142495">
              <w:rPr>
                <w:rFonts w:ascii="Arial" w:hAnsi="Arial" w:cs="Arial"/>
                <w:sz w:val="20"/>
                <w:szCs w:val="20"/>
              </w:rPr>
              <w:t xml:space="preserve">90 </w:t>
            </w:r>
            <w:r w:rsidR="41FD4DC5" w:rsidRPr="5E142495">
              <w:rPr>
                <w:rFonts w:ascii="Arial" w:hAnsi="Arial" w:cs="Arial"/>
                <w:sz w:val="20"/>
                <w:szCs w:val="20"/>
              </w:rPr>
              <w:t>facilities</w:t>
            </w:r>
            <w:r w:rsidR="3E3CD060" w:rsidRPr="5E142495">
              <w:rPr>
                <w:rFonts w:ascii="Arial" w:hAnsi="Arial" w:cs="Arial"/>
                <w:sz w:val="20"/>
                <w:szCs w:val="20"/>
              </w:rPr>
              <w:t xml:space="preserve"> were impacted</w:t>
            </w:r>
            <w:r w:rsidR="2FED9F0A" w:rsidRPr="5E142495">
              <w:rPr>
                <w:rFonts w:ascii="Arial" w:hAnsi="Arial" w:cs="Arial"/>
                <w:sz w:val="20"/>
                <w:szCs w:val="20"/>
              </w:rPr>
              <w:t>, with</w:t>
            </w:r>
            <w:r w:rsidR="76BD8582" w:rsidRPr="5E142495">
              <w:rPr>
                <w:rFonts w:ascii="Arial" w:hAnsi="Arial" w:cs="Arial"/>
                <w:sz w:val="20"/>
                <w:szCs w:val="20"/>
              </w:rPr>
              <w:t xml:space="preserve"> the average outage lasting 3.5 days.</w:t>
            </w:r>
            <w:r w:rsidR="00C63E72" w:rsidRPr="5E142495">
              <w:rPr>
                <w:vertAlign w:val="superscript"/>
              </w:rPr>
              <w:footnoteReference w:id="9"/>
            </w:r>
            <w:r w:rsidR="237B8AE1" w:rsidRPr="5E142495">
              <w:rPr>
                <w:rFonts w:ascii="Arial" w:hAnsi="Arial" w:cs="Arial"/>
                <w:sz w:val="20"/>
                <w:szCs w:val="20"/>
              </w:rPr>
              <w:t xml:space="preserve"> </w:t>
            </w:r>
            <w:r w:rsidR="034654D2" w:rsidRPr="5E142495">
              <w:rPr>
                <w:rFonts w:ascii="Arial" w:hAnsi="Arial" w:cs="Arial"/>
                <w:sz w:val="20"/>
                <w:szCs w:val="20"/>
              </w:rPr>
              <w:t>P</w:t>
            </w:r>
            <w:r w:rsidR="2AB9D32B" w:rsidRPr="5E142495">
              <w:rPr>
                <w:rFonts w:ascii="Arial" w:hAnsi="Arial" w:cs="Arial"/>
                <w:sz w:val="20"/>
                <w:szCs w:val="20"/>
              </w:rPr>
              <w:t>rolonged</w:t>
            </w:r>
            <w:r w:rsidR="09D710FC" w:rsidRPr="5E142495">
              <w:rPr>
                <w:rFonts w:ascii="Arial" w:hAnsi="Arial" w:cs="Arial"/>
                <w:sz w:val="20"/>
                <w:szCs w:val="20"/>
              </w:rPr>
              <w:t xml:space="preserve"> </w:t>
            </w:r>
            <w:r w:rsidR="44807BB9" w:rsidRPr="5E142495">
              <w:rPr>
                <w:rFonts w:ascii="Arial" w:hAnsi="Arial" w:cs="Arial"/>
                <w:sz w:val="20"/>
                <w:szCs w:val="20"/>
              </w:rPr>
              <w:t xml:space="preserve">power </w:t>
            </w:r>
            <w:r w:rsidR="13BACA7B" w:rsidRPr="5E142495">
              <w:rPr>
                <w:rFonts w:ascii="Arial" w:hAnsi="Arial" w:cs="Arial"/>
                <w:sz w:val="20"/>
                <w:szCs w:val="20"/>
              </w:rPr>
              <w:t xml:space="preserve">outages </w:t>
            </w:r>
            <w:r w:rsidR="09D710FC" w:rsidRPr="5E142495">
              <w:rPr>
                <w:rFonts w:ascii="Arial" w:hAnsi="Arial" w:cs="Arial"/>
                <w:sz w:val="20"/>
                <w:szCs w:val="20"/>
              </w:rPr>
              <w:t>created</w:t>
            </w:r>
            <w:r w:rsidR="76303FBC" w:rsidRPr="5E142495">
              <w:rPr>
                <w:rFonts w:ascii="Arial" w:hAnsi="Arial" w:cs="Arial"/>
                <w:sz w:val="20"/>
                <w:szCs w:val="20"/>
              </w:rPr>
              <w:t xml:space="preserve"> major</w:t>
            </w:r>
            <w:r w:rsidR="09D710FC" w:rsidRPr="5E142495">
              <w:rPr>
                <w:rFonts w:ascii="Arial" w:hAnsi="Arial" w:cs="Arial"/>
                <w:sz w:val="20"/>
                <w:szCs w:val="20"/>
              </w:rPr>
              <w:t xml:space="preserve"> disruption, including</w:t>
            </w:r>
            <w:r w:rsidR="0F4E27D8" w:rsidRPr="5E142495">
              <w:rPr>
                <w:rFonts w:ascii="Arial" w:hAnsi="Arial" w:cs="Arial"/>
                <w:sz w:val="20"/>
                <w:szCs w:val="20"/>
              </w:rPr>
              <w:t xml:space="preserve"> </w:t>
            </w:r>
            <w:r w:rsidR="6C2889AB" w:rsidRPr="5E142495">
              <w:rPr>
                <w:rFonts w:ascii="Arial" w:hAnsi="Arial" w:cs="Arial"/>
                <w:sz w:val="20"/>
                <w:szCs w:val="20"/>
              </w:rPr>
              <w:t xml:space="preserve">for </w:t>
            </w:r>
            <w:r w:rsidR="09D710FC" w:rsidRPr="5E142495">
              <w:rPr>
                <w:rFonts w:ascii="Arial" w:hAnsi="Arial" w:cs="Arial"/>
                <w:sz w:val="20"/>
                <w:szCs w:val="20"/>
              </w:rPr>
              <w:t>those seeking to aid recovery</w:t>
            </w:r>
            <w:r w:rsidR="6C2889AB" w:rsidRPr="5E142495">
              <w:rPr>
                <w:rFonts w:ascii="Arial" w:hAnsi="Arial" w:cs="Arial"/>
                <w:sz w:val="20"/>
                <w:szCs w:val="20"/>
              </w:rPr>
              <w:t xml:space="preserve">. </w:t>
            </w:r>
            <w:r w:rsidR="677F8135" w:rsidRPr="5E142495">
              <w:rPr>
                <w:rFonts w:ascii="Arial" w:hAnsi="Arial" w:cs="Arial"/>
                <w:sz w:val="20"/>
                <w:szCs w:val="20"/>
              </w:rPr>
              <w:t>Loss of network coverage meant that p</w:t>
            </w:r>
            <w:r w:rsidR="44807BB9" w:rsidRPr="5E142495">
              <w:rPr>
                <w:rFonts w:ascii="Arial" w:hAnsi="Arial" w:cs="Arial"/>
                <w:sz w:val="20"/>
                <w:szCs w:val="20"/>
              </w:rPr>
              <w:t>eople</w:t>
            </w:r>
            <w:r w:rsidR="0F4E27D8" w:rsidRPr="5E142495">
              <w:rPr>
                <w:rFonts w:ascii="Arial" w:hAnsi="Arial" w:cs="Arial"/>
                <w:sz w:val="20"/>
                <w:szCs w:val="20"/>
              </w:rPr>
              <w:t xml:space="preserve"> were unable to </w:t>
            </w:r>
            <w:r w:rsidR="7694B9FE" w:rsidRPr="5E142495">
              <w:rPr>
                <w:rFonts w:ascii="Arial" w:hAnsi="Arial" w:cs="Arial"/>
                <w:sz w:val="20"/>
                <w:szCs w:val="20"/>
              </w:rPr>
              <w:t>receive emergency messages about the location of fires.</w:t>
            </w:r>
            <w:r w:rsidR="001B5758" w:rsidRPr="5E142495">
              <w:rPr>
                <w:rFonts w:ascii="Arial" w:hAnsi="Arial" w:cs="Arial"/>
                <w:sz w:val="20"/>
                <w:szCs w:val="20"/>
              </w:rPr>
              <w:t xml:space="preserve"> </w:t>
            </w:r>
            <w:r w:rsidR="58A97FCB" w:rsidRPr="5E142495">
              <w:rPr>
                <w:rFonts w:ascii="Arial" w:hAnsi="Arial" w:cs="Arial"/>
                <w:sz w:val="20"/>
                <w:szCs w:val="20"/>
              </w:rPr>
              <w:t>This</w:t>
            </w:r>
            <w:r w:rsidR="677F8135" w:rsidRPr="5E142495">
              <w:rPr>
                <w:rFonts w:ascii="Arial" w:hAnsi="Arial" w:cs="Arial"/>
                <w:sz w:val="20"/>
                <w:szCs w:val="20"/>
              </w:rPr>
              <w:t xml:space="preserve"> </w:t>
            </w:r>
            <w:r w:rsidR="2D3A4DD6" w:rsidRPr="5E142495">
              <w:rPr>
                <w:rFonts w:ascii="Arial" w:hAnsi="Arial" w:cs="Arial"/>
                <w:sz w:val="20"/>
                <w:szCs w:val="20"/>
              </w:rPr>
              <w:t>a</w:t>
            </w:r>
            <w:r w:rsidR="677F8135" w:rsidRPr="5E142495">
              <w:rPr>
                <w:rFonts w:ascii="Arial" w:hAnsi="Arial" w:cs="Arial"/>
                <w:sz w:val="20"/>
                <w:szCs w:val="20"/>
              </w:rPr>
              <w:t xml:space="preserve">ffected </w:t>
            </w:r>
            <w:r w:rsidR="44807BB9" w:rsidRPr="5E142495">
              <w:rPr>
                <w:rFonts w:ascii="Arial" w:hAnsi="Arial" w:cs="Arial"/>
                <w:sz w:val="20"/>
                <w:szCs w:val="20"/>
              </w:rPr>
              <w:t xml:space="preserve">people’s ability to make decisions about preparing their properties, whether to evacuate, and </w:t>
            </w:r>
            <w:r w:rsidR="52E2B172" w:rsidRPr="5E142495">
              <w:rPr>
                <w:rFonts w:ascii="Arial" w:hAnsi="Arial" w:cs="Arial"/>
                <w:sz w:val="20"/>
                <w:szCs w:val="20"/>
              </w:rPr>
              <w:t xml:space="preserve">where to evacuate to. </w:t>
            </w:r>
            <w:r w:rsidR="2B0A721B" w:rsidRPr="5E142495">
              <w:rPr>
                <w:rFonts w:ascii="Arial" w:hAnsi="Arial" w:cs="Arial"/>
                <w:sz w:val="20"/>
                <w:szCs w:val="20"/>
              </w:rPr>
              <w:t>Emergency services had reduced communications and had to rely on radiocommunications in many instances.</w:t>
            </w:r>
            <w:r w:rsidR="00CD345C" w:rsidRPr="5E142495">
              <w:rPr>
                <w:rStyle w:val="FootnoteReference"/>
                <w:rFonts w:ascii="Arial" w:hAnsi="Arial" w:cs="Arial"/>
                <w:sz w:val="20"/>
                <w:szCs w:val="20"/>
              </w:rPr>
              <w:footnoteReference w:id="10"/>
            </w:r>
          </w:p>
        </w:tc>
      </w:tr>
      <w:tr w:rsidR="003913AA" w:rsidRPr="00AD4610" w14:paraId="194D8BEC"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tcPr>
          <w:p w14:paraId="628EBF4B" w14:textId="23BAB8DF" w:rsidR="00EC0E7B" w:rsidRPr="00306021" w:rsidRDefault="70217006" w:rsidP="5E142495">
            <w:pPr>
              <w:spacing w:before="120" w:after="120"/>
              <w:rPr>
                <w:rFonts w:ascii="Arial" w:hAnsi="Arial" w:cs="Arial"/>
                <w:sz w:val="20"/>
                <w:szCs w:val="20"/>
              </w:rPr>
            </w:pPr>
            <w:r w:rsidRPr="5E142495">
              <w:rPr>
                <w:rFonts w:ascii="Arial" w:hAnsi="Arial" w:cs="Arial"/>
                <w:b/>
                <w:bCs/>
                <w:sz w:val="20"/>
                <w:szCs w:val="20"/>
              </w:rPr>
              <w:t>Identified Gap:</w:t>
            </w:r>
            <w:r w:rsidR="074768E5" w:rsidRPr="5E142495">
              <w:rPr>
                <w:rFonts w:ascii="Arial" w:hAnsi="Arial" w:cs="Arial"/>
                <w:b/>
                <w:bCs/>
                <w:sz w:val="20"/>
                <w:szCs w:val="20"/>
              </w:rPr>
              <w:t xml:space="preserve"> </w:t>
            </w:r>
            <w:r w:rsidR="276C8298" w:rsidRPr="5E142495">
              <w:rPr>
                <w:rFonts w:ascii="Arial" w:hAnsi="Arial" w:cs="Arial"/>
                <w:sz w:val="20"/>
                <w:szCs w:val="20"/>
              </w:rPr>
              <w:t>C</w:t>
            </w:r>
            <w:r w:rsidR="659C57A4" w:rsidRPr="5E142495">
              <w:rPr>
                <w:rFonts w:ascii="Arial" w:hAnsi="Arial" w:cs="Arial"/>
                <w:sz w:val="20"/>
                <w:szCs w:val="20"/>
              </w:rPr>
              <w:t xml:space="preserve">onsistent regulatory standards across all critical infrastructure assets </w:t>
            </w:r>
            <w:r w:rsidR="490EF607" w:rsidRPr="5E142495">
              <w:rPr>
                <w:rFonts w:ascii="Arial" w:hAnsi="Arial" w:cs="Arial"/>
                <w:sz w:val="20"/>
                <w:szCs w:val="20"/>
              </w:rPr>
              <w:t>may</w:t>
            </w:r>
            <w:r w:rsidR="659C57A4" w:rsidRPr="5E142495">
              <w:rPr>
                <w:rFonts w:ascii="Arial" w:hAnsi="Arial" w:cs="Arial"/>
                <w:sz w:val="20"/>
                <w:szCs w:val="20"/>
              </w:rPr>
              <w:t xml:space="preserve"> </w:t>
            </w:r>
            <w:r w:rsidR="2C7F4DE7" w:rsidRPr="5E142495">
              <w:rPr>
                <w:rFonts w:ascii="Arial" w:hAnsi="Arial" w:cs="Arial"/>
                <w:sz w:val="20"/>
                <w:szCs w:val="20"/>
              </w:rPr>
              <w:t xml:space="preserve">mitigate the impact of </w:t>
            </w:r>
            <w:r w:rsidR="5178373C" w:rsidRPr="5E142495">
              <w:rPr>
                <w:rFonts w:ascii="Arial" w:hAnsi="Arial" w:cs="Arial"/>
                <w:sz w:val="20"/>
                <w:szCs w:val="20"/>
              </w:rPr>
              <w:t>mass outages</w:t>
            </w:r>
            <w:r w:rsidR="1A48233C" w:rsidRPr="5E142495">
              <w:rPr>
                <w:rFonts w:ascii="Arial" w:hAnsi="Arial" w:cs="Arial"/>
                <w:sz w:val="20"/>
                <w:szCs w:val="20"/>
              </w:rPr>
              <w:t xml:space="preserve">, including through enhancing knowledge and understanding of the incident response mechanisms available where a risk to a telecommunications </w:t>
            </w:r>
            <w:r w:rsidR="00FB49EF" w:rsidRPr="5E142495">
              <w:rPr>
                <w:rFonts w:ascii="Arial" w:hAnsi="Arial" w:cs="Arial"/>
                <w:sz w:val="20"/>
                <w:szCs w:val="20"/>
              </w:rPr>
              <w:t xml:space="preserve">asset </w:t>
            </w:r>
            <w:r w:rsidR="1A48233C" w:rsidRPr="5E142495">
              <w:rPr>
                <w:rFonts w:ascii="Arial" w:hAnsi="Arial" w:cs="Arial"/>
                <w:sz w:val="20"/>
                <w:szCs w:val="20"/>
              </w:rPr>
              <w:t>is realised.</w:t>
            </w:r>
          </w:p>
        </w:tc>
      </w:tr>
    </w:tbl>
    <w:p w14:paraId="5A8FF1CB" w14:textId="26352996" w:rsidR="00517128" w:rsidRDefault="00517128" w:rsidP="00661965">
      <w:pPr>
        <w:spacing w:after="0"/>
        <w:rPr>
          <w:rFonts w:ascii="Arial" w:hAnsi="Arial" w:cs="Arial"/>
        </w:rPr>
      </w:pPr>
    </w:p>
    <w:p w14:paraId="60893522" w14:textId="77777777" w:rsidR="00517128" w:rsidRDefault="0051712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379"/>
        <w:gridCol w:w="2637"/>
      </w:tblGrid>
      <w:tr w:rsidR="00D22825" w:rsidRPr="00AD4610" w14:paraId="491AB65C" w14:textId="77777777" w:rsidTr="5E142495">
        <w:trPr>
          <w:trHeight w:val="489"/>
        </w:trPr>
        <w:tc>
          <w:tcPr>
            <w:tcW w:w="6379" w:type="dxa"/>
            <w:tcBorders>
              <w:top w:val="nil"/>
              <w:left w:val="nil"/>
              <w:bottom w:val="single" w:sz="4" w:space="0" w:color="A5A5A5" w:themeColor="accent3"/>
              <w:right w:val="nil"/>
            </w:tcBorders>
            <w:shd w:val="clear" w:color="auto" w:fill="284B98"/>
            <w:vAlign w:val="center"/>
          </w:tcPr>
          <w:p w14:paraId="0FD49EFD" w14:textId="1ADD8547" w:rsidR="00D22825" w:rsidRPr="00306021" w:rsidRDefault="00D60735" w:rsidP="00661965">
            <w:pPr>
              <w:spacing w:before="120" w:after="120"/>
              <w:rPr>
                <w:rFonts w:ascii="Arial" w:hAnsi="Arial" w:cs="Arial"/>
                <w:b/>
                <w:color w:val="FFFFFF" w:themeColor="background1"/>
                <w:sz w:val="20"/>
                <w:szCs w:val="20"/>
              </w:rPr>
            </w:pPr>
            <w:r w:rsidRPr="00306021">
              <w:rPr>
                <w:rFonts w:ascii="Arial" w:hAnsi="Arial" w:cs="Arial"/>
                <w:sz w:val="20"/>
                <w:szCs w:val="20"/>
              </w:rPr>
              <w:br w:type="page"/>
            </w:r>
            <w:r w:rsidR="00D41532">
              <w:rPr>
                <w:rFonts w:ascii="Arial" w:hAnsi="Arial" w:cs="Arial"/>
                <w:b/>
                <w:color w:val="FFFFFF" w:themeColor="background1"/>
                <w:sz w:val="20"/>
                <w:szCs w:val="20"/>
              </w:rPr>
              <w:t>2022 Outage of Critical Japanese Mobile Carrier</w:t>
            </w:r>
          </w:p>
        </w:tc>
        <w:tc>
          <w:tcPr>
            <w:tcW w:w="2637" w:type="dxa"/>
            <w:tcBorders>
              <w:top w:val="nil"/>
              <w:left w:val="nil"/>
              <w:bottom w:val="single" w:sz="4" w:space="0" w:color="A5A5A5" w:themeColor="accent3"/>
              <w:right w:val="nil"/>
            </w:tcBorders>
            <w:shd w:val="clear" w:color="auto" w:fill="4472C4" w:themeFill="accent1"/>
            <w:vAlign w:val="center"/>
          </w:tcPr>
          <w:p w14:paraId="6AE4082E" w14:textId="3AD60915" w:rsidR="00D22825" w:rsidRPr="00306021" w:rsidRDefault="00D22825" w:rsidP="00661965">
            <w:pPr>
              <w:spacing w:before="120" w:after="120"/>
              <w:rPr>
                <w:rFonts w:ascii="Arial" w:hAnsi="Arial" w:cs="Arial"/>
                <w:b/>
                <w:color w:val="FFFFFF" w:themeColor="background1"/>
                <w:sz w:val="20"/>
                <w:szCs w:val="20"/>
              </w:rPr>
            </w:pPr>
            <w:r w:rsidRPr="00306021">
              <w:rPr>
                <w:rFonts w:ascii="Arial" w:hAnsi="Arial" w:cs="Arial"/>
                <w:b/>
                <w:color w:val="FFFFFF" w:themeColor="background1"/>
                <w:sz w:val="20"/>
                <w:szCs w:val="20"/>
              </w:rPr>
              <w:t xml:space="preserve">Supply Chain </w:t>
            </w:r>
            <w:r w:rsidR="00F533C2" w:rsidRPr="00306021">
              <w:rPr>
                <w:rFonts w:ascii="Arial" w:hAnsi="Arial" w:cs="Arial"/>
                <w:b/>
                <w:color w:val="FFFFFF" w:themeColor="background1"/>
                <w:sz w:val="20"/>
                <w:szCs w:val="20"/>
              </w:rPr>
              <w:t xml:space="preserve">Risk </w:t>
            </w:r>
          </w:p>
        </w:tc>
      </w:tr>
      <w:tr w:rsidR="00D22825" w:rsidRPr="00AD4610" w14:paraId="50F97140"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tcPr>
          <w:p w14:paraId="20D2C5C2" w14:textId="4D52FFDA" w:rsidR="00A52B50" w:rsidRPr="00306021" w:rsidRDefault="68D4EF5B" w:rsidP="5E142495">
            <w:pPr>
              <w:spacing w:before="120" w:after="120"/>
              <w:rPr>
                <w:rFonts w:ascii="Arial" w:hAnsi="Arial" w:cs="Arial"/>
                <w:sz w:val="20"/>
                <w:szCs w:val="20"/>
              </w:rPr>
            </w:pPr>
            <w:r w:rsidRPr="5E142495">
              <w:rPr>
                <w:rFonts w:ascii="Arial" w:hAnsi="Arial" w:cs="Arial"/>
                <w:b/>
                <w:bCs/>
                <w:sz w:val="20"/>
                <w:szCs w:val="20"/>
              </w:rPr>
              <w:t>Situation:</w:t>
            </w:r>
            <w:r w:rsidR="0E61BE6E" w:rsidRPr="5E142495">
              <w:rPr>
                <w:rFonts w:ascii="Arial" w:hAnsi="Arial" w:cs="Arial"/>
                <w:b/>
                <w:bCs/>
                <w:sz w:val="20"/>
                <w:szCs w:val="20"/>
              </w:rPr>
              <w:t xml:space="preserve"> </w:t>
            </w:r>
            <w:r w:rsidR="771C813D" w:rsidRPr="5E142495">
              <w:rPr>
                <w:rFonts w:ascii="Arial" w:hAnsi="Arial" w:cs="Arial"/>
                <w:sz w:val="20"/>
                <w:szCs w:val="20"/>
              </w:rPr>
              <w:t>On July 2, 2022, KDDI Corp, Japan’s second-largest mobile carrier, experienced a network disruption. The disruption last</w:t>
            </w:r>
            <w:r w:rsidR="733E4CE7" w:rsidRPr="5E142495">
              <w:rPr>
                <w:rFonts w:ascii="Arial" w:hAnsi="Arial" w:cs="Arial"/>
                <w:sz w:val="20"/>
                <w:szCs w:val="20"/>
              </w:rPr>
              <w:t>ed</w:t>
            </w:r>
            <w:r w:rsidR="771C813D" w:rsidRPr="5E142495">
              <w:rPr>
                <w:rFonts w:ascii="Arial" w:hAnsi="Arial" w:cs="Arial"/>
                <w:sz w:val="20"/>
                <w:szCs w:val="20"/>
              </w:rPr>
              <w:t xml:space="preserve"> for more than 60 hours and impacted more than </w:t>
            </w:r>
            <w:r w:rsidR="440ADB91" w:rsidRPr="5E142495">
              <w:rPr>
                <w:rFonts w:ascii="Arial" w:hAnsi="Arial" w:cs="Arial"/>
                <w:sz w:val="20"/>
                <w:szCs w:val="20"/>
              </w:rPr>
              <w:t>40</w:t>
            </w:r>
            <w:r w:rsidR="771C813D" w:rsidRPr="5E142495">
              <w:rPr>
                <w:rFonts w:ascii="Arial" w:hAnsi="Arial" w:cs="Arial"/>
                <w:sz w:val="20"/>
                <w:szCs w:val="20"/>
              </w:rPr>
              <w:t xml:space="preserve"> million mobile customers</w:t>
            </w:r>
            <w:r w:rsidR="2B22EF15" w:rsidRPr="5E142495">
              <w:rPr>
                <w:rFonts w:ascii="Arial" w:hAnsi="Arial" w:cs="Arial"/>
                <w:sz w:val="20"/>
                <w:szCs w:val="20"/>
              </w:rPr>
              <w:t xml:space="preserve">’ </w:t>
            </w:r>
            <w:r w:rsidR="3C47E1F7" w:rsidRPr="5E142495">
              <w:rPr>
                <w:rFonts w:ascii="Arial" w:hAnsi="Arial" w:cs="Arial"/>
                <w:sz w:val="20"/>
                <w:szCs w:val="20"/>
              </w:rPr>
              <w:t xml:space="preserve">(including 260,000 corporate users) </w:t>
            </w:r>
            <w:r w:rsidR="2B22EF15" w:rsidRPr="5E142495">
              <w:rPr>
                <w:rFonts w:ascii="Arial" w:hAnsi="Arial" w:cs="Arial"/>
                <w:sz w:val="20"/>
                <w:szCs w:val="20"/>
              </w:rPr>
              <w:t>ability to make phone calls and access internet services</w:t>
            </w:r>
            <w:r w:rsidR="771C813D" w:rsidRPr="5E142495">
              <w:rPr>
                <w:rFonts w:ascii="Arial" w:hAnsi="Arial" w:cs="Arial"/>
                <w:sz w:val="20"/>
                <w:szCs w:val="20"/>
              </w:rPr>
              <w:t>.</w:t>
            </w:r>
            <w:r w:rsidR="00C82C44" w:rsidRPr="5E142495">
              <w:rPr>
                <w:rStyle w:val="FootnoteReference"/>
                <w:rFonts w:ascii="Arial" w:hAnsi="Arial" w:cs="Arial"/>
                <w:sz w:val="20"/>
                <w:szCs w:val="20"/>
              </w:rPr>
              <w:footnoteReference w:id="11"/>
            </w:r>
          </w:p>
        </w:tc>
      </w:tr>
      <w:tr w:rsidR="00D22825" w:rsidRPr="00AD4610" w14:paraId="55632613"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E7E6E6" w:themeFill="background2"/>
          </w:tcPr>
          <w:p w14:paraId="0C7A92EC" w14:textId="7C971259" w:rsidR="00DF0497" w:rsidRPr="00306021" w:rsidRDefault="71F64B7E" w:rsidP="5E142495">
            <w:pPr>
              <w:spacing w:before="120" w:after="120"/>
              <w:rPr>
                <w:rFonts w:ascii="Arial" w:hAnsi="Arial" w:cs="Arial"/>
                <w:sz w:val="20"/>
                <w:szCs w:val="20"/>
              </w:rPr>
            </w:pPr>
            <w:r w:rsidRPr="5E142495">
              <w:rPr>
                <w:rFonts w:ascii="Arial" w:hAnsi="Arial" w:cs="Arial"/>
                <w:b/>
                <w:bCs/>
                <w:sz w:val="20"/>
                <w:szCs w:val="20"/>
              </w:rPr>
              <w:t>Outcome:</w:t>
            </w:r>
            <w:r w:rsidR="656AC576" w:rsidRPr="5E142495">
              <w:rPr>
                <w:rFonts w:ascii="Arial" w:hAnsi="Arial" w:cs="Arial"/>
                <w:b/>
                <w:bCs/>
                <w:sz w:val="20"/>
                <w:szCs w:val="20"/>
              </w:rPr>
              <w:t xml:space="preserve"> </w:t>
            </w:r>
            <w:r w:rsidR="57D05091" w:rsidRPr="5E142495">
              <w:rPr>
                <w:rFonts w:ascii="Arial" w:hAnsi="Arial" w:cs="Arial"/>
                <w:sz w:val="20"/>
                <w:szCs w:val="20"/>
              </w:rPr>
              <w:t>Investigations found the disruption occurred as a result of a</w:t>
            </w:r>
            <w:r w:rsidR="2ED5BFFE" w:rsidRPr="5E142495">
              <w:rPr>
                <w:rFonts w:ascii="Arial" w:hAnsi="Arial" w:cs="Arial"/>
                <w:sz w:val="20"/>
                <w:szCs w:val="20"/>
              </w:rPr>
              <w:t xml:space="preserve"> malfunction in </w:t>
            </w:r>
            <w:r w:rsidR="57D05091" w:rsidRPr="5E142495">
              <w:rPr>
                <w:rFonts w:ascii="Arial" w:hAnsi="Arial" w:cs="Arial"/>
                <w:sz w:val="20"/>
                <w:szCs w:val="20"/>
              </w:rPr>
              <w:t xml:space="preserve">equipment </w:t>
            </w:r>
            <w:r w:rsidR="2ED5BFFE" w:rsidRPr="5E142495">
              <w:rPr>
                <w:rFonts w:ascii="Arial" w:hAnsi="Arial" w:cs="Arial"/>
                <w:sz w:val="20"/>
                <w:szCs w:val="20"/>
              </w:rPr>
              <w:t xml:space="preserve">used for </w:t>
            </w:r>
            <w:r w:rsidR="7E347458" w:rsidRPr="5E142495">
              <w:rPr>
                <w:rFonts w:ascii="Arial" w:hAnsi="Arial" w:cs="Arial"/>
                <w:sz w:val="20"/>
                <w:szCs w:val="20"/>
              </w:rPr>
              <w:t>voice call services.</w:t>
            </w:r>
            <w:r w:rsidR="57D05091" w:rsidRPr="5E142495">
              <w:rPr>
                <w:rFonts w:ascii="Arial" w:hAnsi="Arial" w:cs="Arial"/>
                <w:b/>
                <w:bCs/>
                <w:sz w:val="20"/>
                <w:szCs w:val="20"/>
              </w:rPr>
              <w:t xml:space="preserve"> </w:t>
            </w:r>
            <w:r w:rsidR="0519454A" w:rsidRPr="5E142495">
              <w:rPr>
                <w:rFonts w:ascii="Arial" w:hAnsi="Arial" w:cs="Arial"/>
                <w:sz w:val="20"/>
                <w:szCs w:val="20"/>
              </w:rPr>
              <w:t xml:space="preserve">Beyond the direct impacts felt by KDDI Corp’s customer base, the outage created significant flow on </w:t>
            </w:r>
            <w:r w:rsidR="79F89776" w:rsidRPr="5E142495">
              <w:rPr>
                <w:rFonts w:ascii="Arial" w:hAnsi="Arial" w:cs="Arial"/>
                <w:sz w:val="20"/>
                <w:szCs w:val="20"/>
              </w:rPr>
              <w:t>impact</w:t>
            </w:r>
            <w:r w:rsidR="0519454A" w:rsidRPr="5E142495">
              <w:rPr>
                <w:rFonts w:ascii="Arial" w:hAnsi="Arial" w:cs="Arial"/>
                <w:sz w:val="20"/>
                <w:szCs w:val="20"/>
              </w:rPr>
              <w:t xml:space="preserve">s to other essential services. This included, for example, </w:t>
            </w:r>
            <w:r w:rsidR="2392DA9D" w:rsidRPr="5E142495">
              <w:rPr>
                <w:rFonts w:ascii="Arial" w:hAnsi="Arial" w:cs="Arial"/>
                <w:sz w:val="20"/>
                <w:szCs w:val="20"/>
              </w:rPr>
              <w:t xml:space="preserve">disruption to weather service providers reliant on KDDI’s network, </w:t>
            </w:r>
            <w:r w:rsidR="358A83F3" w:rsidRPr="5E142495">
              <w:rPr>
                <w:rFonts w:ascii="Arial" w:hAnsi="Arial" w:cs="Arial"/>
                <w:sz w:val="20"/>
                <w:szCs w:val="20"/>
              </w:rPr>
              <w:t>temporary cessation of postage services</w:t>
            </w:r>
            <w:r w:rsidR="0CB3F935" w:rsidRPr="5E142495">
              <w:rPr>
                <w:rFonts w:ascii="Arial" w:hAnsi="Arial" w:cs="Arial"/>
                <w:sz w:val="20"/>
                <w:szCs w:val="20"/>
              </w:rPr>
              <w:t xml:space="preserve"> and parcel deliveries, inability to access ATMs and use network-connected vehicles.</w:t>
            </w:r>
            <w:r w:rsidR="00C32FB5" w:rsidRPr="5E142495">
              <w:rPr>
                <w:rStyle w:val="FootnoteReference"/>
                <w:rFonts w:ascii="Arial" w:hAnsi="Arial" w:cs="Arial"/>
                <w:sz w:val="20"/>
                <w:szCs w:val="20"/>
              </w:rPr>
              <w:footnoteReference w:id="12"/>
            </w:r>
            <w:r w:rsidR="7DC3547D" w:rsidRPr="5E142495">
              <w:rPr>
                <w:rFonts w:ascii="Arial" w:hAnsi="Arial" w:cs="Arial"/>
                <w:sz w:val="20"/>
                <w:szCs w:val="20"/>
              </w:rPr>
              <w:t xml:space="preserve"> </w:t>
            </w:r>
            <w:r w:rsidR="0007B8A3" w:rsidRPr="5E142495">
              <w:rPr>
                <w:rFonts w:ascii="Arial" w:hAnsi="Arial" w:cs="Arial"/>
                <w:sz w:val="20"/>
                <w:szCs w:val="20"/>
              </w:rPr>
              <w:t>Payment systems were also affected by the outage</w:t>
            </w:r>
            <w:r w:rsidR="7DC3547D" w:rsidRPr="5E142495">
              <w:rPr>
                <w:rFonts w:ascii="Arial" w:hAnsi="Arial" w:cs="Arial"/>
                <w:sz w:val="20"/>
                <w:szCs w:val="20"/>
              </w:rPr>
              <w:t>.</w:t>
            </w:r>
            <w:r w:rsidR="009916AC" w:rsidRPr="5E142495">
              <w:rPr>
                <w:rStyle w:val="FootnoteReference"/>
                <w:rFonts w:ascii="Arial" w:hAnsi="Arial" w:cs="Arial"/>
                <w:sz w:val="20"/>
                <w:szCs w:val="20"/>
              </w:rPr>
              <w:footnoteReference w:id="13"/>
            </w:r>
            <w:r w:rsidR="7DC3547D" w:rsidRPr="5E142495">
              <w:rPr>
                <w:rFonts w:ascii="Arial" w:hAnsi="Arial" w:cs="Arial"/>
                <w:sz w:val="20"/>
                <w:szCs w:val="20"/>
              </w:rPr>
              <w:t xml:space="preserve"> </w:t>
            </w:r>
          </w:p>
        </w:tc>
      </w:tr>
      <w:tr w:rsidR="00D22825" w:rsidRPr="00AD4610" w14:paraId="5CE7C26B" w14:textId="77777777" w:rsidTr="5E142495">
        <w:tc>
          <w:tcPr>
            <w:tcW w:w="9016" w:type="dxa"/>
            <w:gridSpan w:val="2"/>
            <w:tcBorders>
              <w:top w:val="single" w:sz="4" w:space="0" w:color="A5A5A5" w:themeColor="accent3"/>
              <w:left w:val="nil"/>
              <w:bottom w:val="single" w:sz="4" w:space="0" w:color="A5A5A5" w:themeColor="accent3"/>
              <w:right w:val="nil"/>
            </w:tcBorders>
            <w:shd w:val="clear" w:color="auto" w:fill="FFFFFF" w:themeFill="background1"/>
          </w:tcPr>
          <w:p w14:paraId="57B88589" w14:textId="77398600" w:rsidR="00D22825" w:rsidRPr="00306021" w:rsidRDefault="236AA217" w:rsidP="5E142495">
            <w:pPr>
              <w:spacing w:before="120" w:after="120"/>
              <w:rPr>
                <w:rFonts w:ascii="Arial" w:hAnsi="Arial" w:cs="Arial"/>
                <w:sz w:val="20"/>
                <w:szCs w:val="20"/>
              </w:rPr>
            </w:pPr>
            <w:r w:rsidRPr="5E142495">
              <w:rPr>
                <w:rFonts w:ascii="Arial" w:hAnsi="Arial" w:cs="Arial"/>
                <w:b/>
                <w:bCs/>
                <w:sz w:val="20"/>
                <w:szCs w:val="20"/>
              </w:rPr>
              <w:t>Identified Gap:</w:t>
            </w:r>
            <w:r w:rsidR="5D89D22C" w:rsidRPr="5E142495">
              <w:rPr>
                <w:rFonts w:ascii="Arial" w:hAnsi="Arial" w:cs="Arial"/>
                <w:b/>
                <w:bCs/>
                <w:sz w:val="20"/>
                <w:szCs w:val="20"/>
              </w:rPr>
              <w:t xml:space="preserve"> </w:t>
            </w:r>
            <w:r w:rsidR="77689937" w:rsidRPr="5E142495">
              <w:rPr>
                <w:rFonts w:ascii="Arial" w:hAnsi="Arial" w:cs="Arial"/>
                <w:sz w:val="20"/>
                <w:szCs w:val="20"/>
              </w:rPr>
              <w:t>This case study highlights the importance of re</w:t>
            </w:r>
            <w:r w:rsidR="73A8D06A" w:rsidRPr="5E142495">
              <w:rPr>
                <w:rFonts w:ascii="Arial" w:hAnsi="Arial" w:cs="Arial"/>
                <w:sz w:val="20"/>
                <w:szCs w:val="20"/>
              </w:rPr>
              <w:t xml:space="preserve">gulatory frameworks which </w:t>
            </w:r>
            <w:r w:rsidR="00443690" w:rsidRPr="5E142495">
              <w:rPr>
                <w:rFonts w:ascii="Arial" w:hAnsi="Arial" w:cs="Arial"/>
                <w:sz w:val="20"/>
                <w:szCs w:val="20"/>
              </w:rPr>
              <w:t>enhance industry</w:t>
            </w:r>
            <w:r w:rsidR="1C85EE0B" w:rsidRPr="5E142495">
              <w:rPr>
                <w:rFonts w:ascii="Arial" w:hAnsi="Arial" w:cs="Arial"/>
                <w:sz w:val="20"/>
                <w:szCs w:val="20"/>
              </w:rPr>
              <w:t>-wide resilience</w:t>
            </w:r>
            <w:r w:rsidR="21693BF7" w:rsidRPr="5E142495">
              <w:rPr>
                <w:rFonts w:ascii="Arial" w:hAnsi="Arial" w:cs="Arial"/>
                <w:sz w:val="20"/>
                <w:szCs w:val="20"/>
              </w:rPr>
              <w:t xml:space="preserve"> through consistent risk management activities. </w:t>
            </w:r>
            <w:r w:rsidR="2064466E" w:rsidRPr="5E142495">
              <w:rPr>
                <w:rFonts w:ascii="Arial" w:hAnsi="Arial" w:cs="Arial"/>
                <w:sz w:val="20"/>
                <w:szCs w:val="20"/>
              </w:rPr>
              <w:t xml:space="preserve">Where reliance on a single provider can be reduced, and adequate risk management mechanisms are in place, the impacts of disruptions can be mitigated. </w:t>
            </w:r>
          </w:p>
        </w:tc>
      </w:tr>
    </w:tbl>
    <w:p w14:paraId="62992AAD" w14:textId="0B828041" w:rsidR="00E07DE5" w:rsidRPr="00D27366" w:rsidRDefault="00B85EEA" w:rsidP="00771A8F">
      <w:pPr>
        <w:pStyle w:val="Heading2"/>
        <w:spacing w:before="360"/>
        <w:rPr>
          <w:color w:val="auto"/>
          <w:sz w:val="24"/>
          <w:szCs w:val="24"/>
        </w:rPr>
      </w:pPr>
      <w:r>
        <w:t xml:space="preserve">Outline </w:t>
      </w:r>
      <w:r w:rsidR="00247F73">
        <w:t xml:space="preserve">of </w:t>
      </w:r>
      <w:r w:rsidR="003C4D09">
        <w:t xml:space="preserve">four </w:t>
      </w:r>
      <w:r w:rsidR="009515FD">
        <w:t>key hazard domains</w:t>
      </w:r>
    </w:p>
    <w:tbl>
      <w:tblPr>
        <w:tblStyle w:val="TableGrid"/>
        <w:tblW w:w="0" w:type="auto"/>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1276"/>
        <w:gridCol w:w="3544"/>
        <w:gridCol w:w="4206"/>
      </w:tblGrid>
      <w:tr w:rsidR="00E53F86" w:rsidRPr="00306021" w14:paraId="4AC38611" w14:textId="77777777" w:rsidTr="5E142495">
        <w:trPr>
          <w:tblHeader/>
        </w:trPr>
        <w:tc>
          <w:tcPr>
            <w:tcW w:w="1276" w:type="dxa"/>
            <w:shd w:val="clear" w:color="auto" w:fill="284B98"/>
            <w:vAlign w:val="center"/>
          </w:tcPr>
          <w:p w14:paraId="058C74ED" w14:textId="287EFBF5" w:rsidR="00E53F86" w:rsidRPr="00306021" w:rsidRDefault="0015237D" w:rsidP="0079597C">
            <w:pPr>
              <w:spacing w:before="120" w:after="120"/>
              <w:rPr>
                <w:rFonts w:ascii="Arial" w:hAnsi="Arial" w:cs="Arial"/>
                <w:b/>
                <w:color w:val="FFFFFF" w:themeColor="background1"/>
                <w:sz w:val="20"/>
                <w:szCs w:val="20"/>
              </w:rPr>
            </w:pPr>
            <w:r w:rsidRPr="00306021">
              <w:rPr>
                <w:rFonts w:ascii="Arial" w:hAnsi="Arial" w:cs="Arial"/>
                <w:b/>
                <w:color w:val="FFFFFF" w:themeColor="background1"/>
                <w:sz w:val="20"/>
                <w:szCs w:val="20"/>
              </w:rPr>
              <w:t xml:space="preserve">Hazard </w:t>
            </w:r>
            <w:r w:rsidR="00262D5D">
              <w:rPr>
                <w:rFonts w:ascii="Arial" w:hAnsi="Arial" w:cs="Arial"/>
                <w:b/>
                <w:color w:val="FFFFFF" w:themeColor="background1"/>
                <w:sz w:val="20"/>
                <w:szCs w:val="20"/>
              </w:rPr>
              <w:t>D</w:t>
            </w:r>
            <w:r w:rsidRPr="00306021">
              <w:rPr>
                <w:rFonts w:ascii="Arial" w:hAnsi="Arial" w:cs="Arial"/>
                <w:b/>
                <w:color w:val="FFFFFF" w:themeColor="background1"/>
                <w:sz w:val="20"/>
                <w:szCs w:val="20"/>
              </w:rPr>
              <w:t>omain</w:t>
            </w:r>
          </w:p>
        </w:tc>
        <w:tc>
          <w:tcPr>
            <w:tcW w:w="3544" w:type="dxa"/>
            <w:shd w:val="clear" w:color="auto" w:fill="284B98"/>
            <w:vAlign w:val="center"/>
          </w:tcPr>
          <w:p w14:paraId="786E5E91" w14:textId="2A949E47" w:rsidR="00E53F86" w:rsidRPr="00306021" w:rsidRDefault="00E53F86" w:rsidP="5E142495">
            <w:pPr>
              <w:spacing w:before="120" w:after="120"/>
              <w:rPr>
                <w:rFonts w:ascii="Arial" w:hAnsi="Arial" w:cs="Arial"/>
                <w:b/>
                <w:bCs/>
                <w:color w:val="FFFFFF" w:themeColor="background1"/>
                <w:sz w:val="20"/>
                <w:szCs w:val="20"/>
              </w:rPr>
            </w:pPr>
            <w:r w:rsidRPr="5E142495">
              <w:rPr>
                <w:rFonts w:ascii="Arial" w:hAnsi="Arial" w:cs="Arial"/>
                <w:b/>
                <w:bCs/>
                <w:color w:val="FFFFFF" w:themeColor="background1"/>
                <w:sz w:val="20"/>
                <w:szCs w:val="20"/>
              </w:rPr>
              <w:t xml:space="preserve">Identified </w:t>
            </w:r>
            <w:r w:rsidR="00262D5D" w:rsidRPr="5E142495">
              <w:rPr>
                <w:rFonts w:ascii="Arial" w:hAnsi="Arial" w:cs="Arial"/>
                <w:b/>
                <w:bCs/>
                <w:color w:val="FFFFFF" w:themeColor="background1"/>
                <w:sz w:val="20"/>
                <w:szCs w:val="20"/>
              </w:rPr>
              <w:t>R</w:t>
            </w:r>
            <w:r w:rsidRPr="5E142495">
              <w:rPr>
                <w:rFonts w:ascii="Arial" w:hAnsi="Arial" w:cs="Arial"/>
                <w:b/>
                <w:bCs/>
                <w:color w:val="FFFFFF" w:themeColor="background1"/>
                <w:sz w:val="20"/>
                <w:szCs w:val="20"/>
              </w:rPr>
              <w:t>isk</w:t>
            </w:r>
          </w:p>
        </w:tc>
        <w:tc>
          <w:tcPr>
            <w:tcW w:w="4206" w:type="dxa"/>
            <w:shd w:val="clear" w:color="auto" w:fill="284B98"/>
            <w:vAlign w:val="center"/>
          </w:tcPr>
          <w:p w14:paraId="3D2EE2E7" w14:textId="717F006D" w:rsidR="00E53F86" w:rsidRPr="00306021" w:rsidRDefault="00047A6B" w:rsidP="0079597C">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Hypothetical </w:t>
            </w:r>
            <w:r w:rsidR="00E53F86" w:rsidRPr="00306021">
              <w:rPr>
                <w:rFonts w:ascii="Arial" w:hAnsi="Arial" w:cs="Arial"/>
                <w:b/>
                <w:color w:val="FFFFFF" w:themeColor="background1"/>
                <w:sz w:val="20"/>
                <w:szCs w:val="20"/>
              </w:rPr>
              <w:t xml:space="preserve">Example </w:t>
            </w:r>
          </w:p>
        </w:tc>
      </w:tr>
      <w:tr w:rsidR="004E02AE" w:rsidRPr="00306021" w14:paraId="18E01E85" w14:textId="77777777" w:rsidTr="5E142495">
        <w:trPr>
          <w:trHeight w:val="1508"/>
        </w:trPr>
        <w:tc>
          <w:tcPr>
            <w:tcW w:w="1276" w:type="dxa"/>
            <w:shd w:val="clear" w:color="auto" w:fill="E7E6E6" w:themeFill="background2"/>
            <w:vAlign w:val="center"/>
          </w:tcPr>
          <w:p w14:paraId="0F5E3FF5" w14:textId="19010E6A" w:rsidR="004E02AE" w:rsidRPr="00306021" w:rsidRDefault="004E02AE" w:rsidP="0079597C">
            <w:pPr>
              <w:spacing w:before="120" w:after="120"/>
              <w:rPr>
                <w:rFonts w:ascii="Arial" w:hAnsi="Arial" w:cs="Arial"/>
                <w:b/>
                <w:sz w:val="20"/>
                <w:szCs w:val="20"/>
              </w:rPr>
            </w:pPr>
            <w:r w:rsidRPr="00306021">
              <w:rPr>
                <w:rFonts w:ascii="Arial" w:hAnsi="Arial" w:cs="Arial"/>
                <w:b/>
                <w:sz w:val="20"/>
                <w:szCs w:val="20"/>
              </w:rPr>
              <w:t>Physical &amp;</w:t>
            </w:r>
          </w:p>
          <w:p w14:paraId="49FB2553" w14:textId="10462D4F" w:rsidR="004E02AE" w:rsidRPr="00306021" w:rsidRDefault="004E02AE" w:rsidP="00FB49EF">
            <w:pPr>
              <w:spacing w:before="120" w:after="120"/>
              <w:rPr>
                <w:rFonts w:ascii="Arial" w:hAnsi="Arial" w:cs="Arial"/>
                <w:b/>
                <w:sz w:val="20"/>
                <w:szCs w:val="20"/>
              </w:rPr>
            </w:pPr>
            <w:r w:rsidRPr="00306021">
              <w:rPr>
                <w:rFonts w:ascii="Arial" w:hAnsi="Arial" w:cs="Arial"/>
                <w:b/>
                <w:sz w:val="20"/>
                <w:szCs w:val="20"/>
              </w:rPr>
              <w:t xml:space="preserve">Natural </w:t>
            </w:r>
          </w:p>
        </w:tc>
        <w:tc>
          <w:tcPr>
            <w:tcW w:w="3544" w:type="dxa"/>
            <w:shd w:val="clear" w:color="auto" w:fill="FFFFFF" w:themeFill="background1"/>
            <w:vAlign w:val="center"/>
          </w:tcPr>
          <w:p w14:paraId="42D3B140" w14:textId="538BE7A6" w:rsidR="004E02AE" w:rsidRPr="00306021" w:rsidRDefault="0802B822" w:rsidP="0079597C">
            <w:pPr>
              <w:spacing w:before="120" w:after="120"/>
              <w:rPr>
                <w:rFonts w:ascii="Arial" w:hAnsi="Arial" w:cs="Arial"/>
                <w:sz w:val="20"/>
                <w:szCs w:val="20"/>
              </w:rPr>
            </w:pPr>
            <w:r w:rsidRPr="70D35337">
              <w:rPr>
                <w:rFonts w:ascii="Arial" w:hAnsi="Arial" w:cs="Arial"/>
                <w:sz w:val="20"/>
                <w:szCs w:val="20"/>
              </w:rPr>
              <w:t xml:space="preserve">Increased occurrence of extreme weather events and natural disasters including heatwaves, </w:t>
            </w:r>
            <w:r w:rsidR="4C80AA69" w:rsidRPr="70D35337">
              <w:rPr>
                <w:rFonts w:ascii="Arial" w:hAnsi="Arial" w:cs="Arial"/>
                <w:sz w:val="20"/>
                <w:szCs w:val="20"/>
              </w:rPr>
              <w:t>bushfires</w:t>
            </w:r>
            <w:r w:rsidRPr="70D35337">
              <w:rPr>
                <w:rFonts w:ascii="Arial" w:hAnsi="Arial" w:cs="Arial"/>
                <w:sz w:val="20"/>
                <w:szCs w:val="20"/>
              </w:rPr>
              <w:t xml:space="preserve"> and floods means </w:t>
            </w:r>
            <w:r w:rsidR="2BD1E914" w:rsidRPr="70D35337">
              <w:rPr>
                <w:rFonts w:ascii="Arial" w:hAnsi="Arial" w:cs="Arial"/>
                <w:sz w:val="20"/>
                <w:szCs w:val="20"/>
              </w:rPr>
              <w:t xml:space="preserve">that telecommunications assets are </w:t>
            </w:r>
            <w:r w:rsidRPr="70D35337">
              <w:rPr>
                <w:rFonts w:ascii="Arial" w:hAnsi="Arial" w:cs="Arial"/>
                <w:sz w:val="20"/>
                <w:szCs w:val="20"/>
              </w:rPr>
              <w:t>exp</w:t>
            </w:r>
            <w:r w:rsidR="2633E9C8" w:rsidRPr="70D35337">
              <w:rPr>
                <w:rFonts w:ascii="Arial" w:hAnsi="Arial" w:cs="Arial"/>
                <w:sz w:val="20"/>
                <w:szCs w:val="20"/>
              </w:rPr>
              <w:t>osed to natural hazard</w:t>
            </w:r>
            <w:r w:rsidRPr="70D35337">
              <w:rPr>
                <w:rFonts w:ascii="Arial" w:hAnsi="Arial" w:cs="Arial"/>
                <w:sz w:val="20"/>
                <w:szCs w:val="20"/>
              </w:rPr>
              <w:t xml:space="preserve"> risks</w:t>
            </w:r>
            <w:r w:rsidR="2B52B1D7" w:rsidRPr="70D35337">
              <w:rPr>
                <w:rFonts w:ascii="Arial" w:hAnsi="Arial" w:cs="Arial"/>
                <w:sz w:val="20"/>
                <w:szCs w:val="20"/>
              </w:rPr>
              <w:t xml:space="preserve">. </w:t>
            </w:r>
            <w:r w:rsidR="2AAD3C70" w:rsidRPr="70D35337">
              <w:rPr>
                <w:rFonts w:ascii="Arial" w:hAnsi="Arial" w:cs="Arial"/>
                <w:sz w:val="20"/>
                <w:szCs w:val="20"/>
              </w:rPr>
              <w:t>These risks</w:t>
            </w:r>
            <w:r w:rsidR="2B52B1D7" w:rsidRPr="70D35337">
              <w:rPr>
                <w:rFonts w:ascii="Arial" w:hAnsi="Arial" w:cs="Arial"/>
                <w:sz w:val="20"/>
                <w:szCs w:val="20"/>
              </w:rPr>
              <w:t xml:space="preserve"> </w:t>
            </w:r>
            <w:r w:rsidR="07931BCA" w:rsidRPr="70D35337">
              <w:rPr>
                <w:rFonts w:ascii="Arial" w:hAnsi="Arial" w:cs="Arial"/>
                <w:sz w:val="20"/>
                <w:szCs w:val="20"/>
              </w:rPr>
              <w:t>have the potential to</w:t>
            </w:r>
            <w:r w:rsidR="7764B429" w:rsidRPr="70D35337">
              <w:rPr>
                <w:rFonts w:ascii="Arial" w:hAnsi="Arial" w:cs="Arial"/>
                <w:sz w:val="20"/>
                <w:szCs w:val="20"/>
              </w:rPr>
              <w:t xml:space="preserve"> damage </w:t>
            </w:r>
            <w:r w:rsidR="4C6C5B57" w:rsidRPr="70D35337">
              <w:rPr>
                <w:rFonts w:ascii="Arial" w:hAnsi="Arial" w:cs="Arial"/>
                <w:sz w:val="20"/>
                <w:szCs w:val="20"/>
              </w:rPr>
              <w:t xml:space="preserve">both </w:t>
            </w:r>
            <w:r w:rsidRPr="70D35337">
              <w:rPr>
                <w:rFonts w:ascii="Arial" w:hAnsi="Arial" w:cs="Arial"/>
                <w:sz w:val="20"/>
                <w:szCs w:val="20"/>
              </w:rPr>
              <w:t xml:space="preserve">physical infrastructure and </w:t>
            </w:r>
            <w:r w:rsidR="2AAD3C70" w:rsidRPr="70D35337">
              <w:rPr>
                <w:rFonts w:ascii="Arial" w:hAnsi="Arial" w:cs="Arial"/>
                <w:sz w:val="20"/>
                <w:szCs w:val="20"/>
              </w:rPr>
              <w:t>remote systems</w:t>
            </w:r>
            <w:r w:rsidRPr="70D35337">
              <w:rPr>
                <w:rFonts w:ascii="Arial" w:hAnsi="Arial" w:cs="Arial"/>
                <w:sz w:val="20"/>
                <w:szCs w:val="20"/>
              </w:rPr>
              <w:t>.</w:t>
            </w:r>
          </w:p>
        </w:tc>
        <w:tc>
          <w:tcPr>
            <w:tcW w:w="4206" w:type="dxa"/>
            <w:shd w:val="clear" w:color="auto" w:fill="FFFFFF" w:themeFill="background1"/>
            <w:vAlign w:val="center"/>
          </w:tcPr>
          <w:p w14:paraId="4E43C4C2" w14:textId="1D039730" w:rsidR="004E02AE" w:rsidRPr="00306021" w:rsidRDefault="7B8AB812" w:rsidP="0079597C">
            <w:pPr>
              <w:spacing w:before="120" w:after="120"/>
              <w:rPr>
                <w:rFonts w:ascii="Arial" w:hAnsi="Arial" w:cs="Arial"/>
                <w:sz w:val="20"/>
                <w:szCs w:val="20"/>
              </w:rPr>
            </w:pPr>
            <w:r w:rsidRPr="5F4A6261">
              <w:rPr>
                <w:rFonts w:ascii="Arial" w:hAnsi="Arial" w:cs="Arial"/>
                <w:sz w:val="20"/>
                <w:szCs w:val="20"/>
              </w:rPr>
              <w:t xml:space="preserve">Floods can cause </w:t>
            </w:r>
            <w:r w:rsidR="3210CCB9" w:rsidRPr="5F4A6261">
              <w:rPr>
                <w:rFonts w:ascii="Arial" w:hAnsi="Arial" w:cs="Arial"/>
                <w:sz w:val="20"/>
                <w:szCs w:val="20"/>
              </w:rPr>
              <w:t xml:space="preserve">significant </w:t>
            </w:r>
            <w:r w:rsidR="7C675072" w:rsidRPr="5F4A6261">
              <w:rPr>
                <w:rFonts w:ascii="Arial" w:hAnsi="Arial" w:cs="Arial"/>
                <w:sz w:val="20"/>
                <w:szCs w:val="20"/>
              </w:rPr>
              <w:t xml:space="preserve">disruptions to telecommunications assets including, </w:t>
            </w:r>
            <w:r w:rsidR="510070B8" w:rsidRPr="5F4A6261">
              <w:rPr>
                <w:rFonts w:ascii="Arial" w:hAnsi="Arial" w:cs="Arial"/>
                <w:sz w:val="20"/>
                <w:szCs w:val="20"/>
              </w:rPr>
              <w:t xml:space="preserve">reduced ability to </w:t>
            </w:r>
            <w:r w:rsidR="4957044A" w:rsidRPr="5F4A6261">
              <w:rPr>
                <w:rFonts w:ascii="Arial" w:hAnsi="Arial" w:cs="Arial"/>
                <w:sz w:val="20"/>
                <w:szCs w:val="20"/>
              </w:rPr>
              <w:t xml:space="preserve">deliver and support </w:t>
            </w:r>
            <w:r w:rsidR="2CC1350B" w:rsidRPr="5F4A6261">
              <w:rPr>
                <w:rFonts w:ascii="Arial" w:hAnsi="Arial" w:cs="Arial"/>
                <w:sz w:val="20"/>
                <w:szCs w:val="20"/>
              </w:rPr>
              <w:t xml:space="preserve">critical </w:t>
            </w:r>
            <w:r w:rsidR="36A08B0C" w:rsidRPr="5F4A6261">
              <w:rPr>
                <w:rFonts w:ascii="Arial" w:hAnsi="Arial" w:cs="Arial"/>
                <w:sz w:val="20"/>
                <w:szCs w:val="20"/>
              </w:rPr>
              <w:t>services</w:t>
            </w:r>
            <w:r w:rsidR="0EA0BBB6" w:rsidRPr="5F4A6261">
              <w:rPr>
                <w:rFonts w:ascii="Arial" w:hAnsi="Arial" w:cs="Arial"/>
                <w:sz w:val="20"/>
                <w:szCs w:val="20"/>
              </w:rPr>
              <w:t xml:space="preserve"> following disaster events </w:t>
            </w:r>
            <w:r w:rsidR="6BD02E37" w:rsidRPr="5F4A6261">
              <w:rPr>
                <w:rFonts w:ascii="Arial" w:hAnsi="Arial" w:cs="Arial"/>
                <w:sz w:val="20"/>
                <w:szCs w:val="20"/>
              </w:rPr>
              <w:t>until</w:t>
            </w:r>
            <w:r w:rsidR="0EA0BBB6" w:rsidRPr="5F4A6261">
              <w:rPr>
                <w:rFonts w:ascii="Arial" w:hAnsi="Arial" w:cs="Arial"/>
                <w:sz w:val="20"/>
                <w:szCs w:val="20"/>
              </w:rPr>
              <w:t xml:space="preserve"> connectivity </w:t>
            </w:r>
            <w:r w:rsidR="0C0DB8C4" w:rsidRPr="5F4A6261">
              <w:rPr>
                <w:rFonts w:ascii="Arial" w:hAnsi="Arial" w:cs="Arial"/>
                <w:sz w:val="20"/>
                <w:szCs w:val="20"/>
              </w:rPr>
              <w:t xml:space="preserve">is </w:t>
            </w:r>
            <w:r w:rsidR="0EA0BBB6" w:rsidRPr="5F4A6261">
              <w:rPr>
                <w:rFonts w:ascii="Arial" w:hAnsi="Arial" w:cs="Arial"/>
                <w:sz w:val="20"/>
                <w:szCs w:val="20"/>
              </w:rPr>
              <w:t>restored.</w:t>
            </w:r>
          </w:p>
        </w:tc>
      </w:tr>
      <w:tr w:rsidR="00E53F86" w:rsidRPr="00306021" w14:paraId="47DB16F8" w14:textId="77777777" w:rsidTr="5E142495">
        <w:tc>
          <w:tcPr>
            <w:tcW w:w="1276" w:type="dxa"/>
            <w:shd w:val="clear" w:color="auto" w:fill="E7E6E6" w:themeFill="background2"/>
            <w:vAlign w:val="center"/>
          </w:tcPr>
          <w:p w14:paraId="68FF9833" w14:textId="00DC0854" w:rsidR="00E53F86" w:rsidRPr="00306021" w:rsidRDefault="00AF388E" w:rsidP="0079597C">
            <w:pPr>
              <w:spacing w:before="120" w:after="120"/>
              <w:rPr>
                <w:rFonts w:ascii="Arial" w:hAnsi="Arial" w:cs="Arial"/>
                <w:b/>
                <w:sz w:val="20"/>
                <w:szCs w:val="20"/>
              </w:rPr>
            </w:pPr>
            <w:r w:rsidRPr="00306021">
              <w:rPr>
                <w:rFonts w:ascii="Arial" w:hAnsi="Arial" w:cs="Arial"/>
                <w:b/>
                <w:sz w:val="20"/>
                <w:szCs w:val="20"/>
              </w:rPr>
              <w:t>Supply chain</w:t>
            </w:r>
          </w:p>
        </w:tc>
        <w:tc>
          <w:tcPr>
            <w:tcW w:w="3544" w:type="dxa"/>
            <w:shd w:val="clear" w:color="auto" w:fill="FFFFFF" w:themeFill="background1"/>
            <w:vAlign w:val="center"/>
          </w:tcPr>
          <w:p w14:paraId="307ECC19" w14:textId="1A3FA6F2" w:rsidR="00E53F86" w:rsidRPr="00306021" w:rsidRDefault="6BB8F216" w:rsidP="0079597C">
            <w:pPr>
              <w:spacing w:before="120" w:after="120"/>
              <w:rPr>
                <w:rFonts w:ascii="Arial" w:hAnsi="Arial" w:cs="Arial"/>
                <w:sz w:val="20"/>
                <w:szCs w:val="20"/>
              </w:rPr>
            </w:pPr>
            <w:r w:rsidRPr="5F4A6261">
              <w:rPr>
                <w:rFonts w:ascii="Arial" w:hAnsi="Arial" w:cs="Arial"/>
                <w:sz w:val="20"/>
                <w:szCs w:val="20"/>
              </w:rPr>
              <w:t>Disruption</w:t>
            </w:r>
            <w:r w:rsidR="6C839A3B" w:rsidRPr="5F4A6261">
              <w:rPr>
                <w:rFonts w:ascii="Arial" w:hAnsi="Arial" w:cs="Arial"/>
                <w:sz w:val="20"/>
                <w:szCs w:val="20"/>
              </w:rPr>
              <w:t>s</w:t>
            </w:r>
            <w:r w:rsidRPr="5F4A6261">
              <w:rPr>
                <w:rFonts w:ascii="Arial" w:hAnsi="Arial" w:cs="Arial"/>
                <w:sz w:val="20"/>
                <w:szCs w:val="20"/>
              </w:rPr>
              <w:t xml:space="preserve"> to </w:t>
            </w:r>
            <w:r w:rsidR="2969D9F1" w:rsidRPr="5F4A6261">
              <w:rPr>
                <w:rFonts w:ascii="Arial" w:hAnsi="Arial" w:cs="Arial"/>
                <w:sz w:val="20"/>
                <w:szCs w:val="20"/>
              </w:rPr>
              <w:t xml:space="preserve">telecommunications assets’ </w:t>
            </w:r>
            <w:r w:rsidRPr="5F4A6261">
              <w:rPr>
                <w:rFonts w:ascii="Arial" w:hAnsi="Arial" w:cs="Arial"/>
                <w:sz w:val="20"/>
                <w:szCs w:val="20"/>
              </w:rPr>
              <w:t xml:space="preserve">supply chains </w:t>
            </w:r>
            <w:r w:rsidR="0BABD54A" w:rsidRPr="5F4A6261">
              <w:rPr>
                <w:rFonts w:ascii="Arial" w:hAnsi="Arial" w:cs="Arial"/>
                <w:sz w:val="20"/>
                <w:szCs w:val="20"/>
              </w:rPr>
              <w:t xml:space="preserve">can </w:t>
            </w:r>
            <w:r w:rsidR="18A5372E" w:rsidRPr="5F4A6261">
              <w:rPr>
                <w:rFonts w:ascii="Arial" w:hAnsi="Arial" w:cs="Arial"/>
                <w:sz w:val="20"/>
                <w:szCs w:val="20"/>
              </w:rPr>
              <w:t xml:space="preserve">affect </w:t>
            </w:r>
            <w:r w:rsidR="4E3D0E95" w:rsidRPr="5F4A6261">
              <w:rPr>
                <w:rFonts w:ascii="Arial" w:hAnsi="Arial" w:cs="Arial"/>
                <w:sz w:val="20"/>
                <w:szCs w:val="20"/>
              </w:rPr>
              <w:t>Australia’s social and economic stability, defence, and national security, as well as the reliability and security of other critical infrastructure assets</w:t>
            </w:r>
            <w:r w:rsidR="18A5372E" w:rsidRPr="5F4A6261">
              <w:rPr>
                <w:rFonts w:ascii="Arial" w:hAnsi="Arial" w:cs="Arial"/>
                <w:sz w:val="20"/>
                <w:szCs w:val="20"/>
              </w:rPr>
              <w:t xml:space="preserve">. </w:t>
            </w:r>
            <w:r w:rsidRPr="5F4A6261">
              <w:rPr>
                <w:rFonts w:ascii="Arial" w:hAnsi="Arial" w:cs="Arial"/>
                <w:sz w:val="20"/>
                <w:szCs w:val="20"/>
              </w:rPr>
              <w:t xml:space="preserve">This risk is </w:t>
            </w:r>
            <w:r w:rsidR="0EE1AF91" w:rsidRPr="5F4A6261">
              <w:rPr>
                <w:rFonts w:ascii="Arial" w:hAnsi="Arial" w:cs="Arial"/>
                <w:sz w:val="20"/>
                <w:szCs w:val="20"/>
              </w:rPr>
              <w:t>magnif</w:t>
            </w:r>
            <w:r w:rsidR="37866F96" w:rsidRPr="5F4A6261">
              <w:rPr>
                <w:rFonts w:ascii="Arial" w:hAnsi="Arial" w:cs="Arial"/>
                <w:sz w:val="20"/>
                <w:szCs w:val="20"/>
              </w:rPr>
              <w:t>i</w:t>
            </w:r>
            <w:r w:rsidR="0EE1AF91" w:rsidRPr="5F4A6261">
              <w:rPr>
                <w:rFonts w:ascii="Arial" w:hAnsi="Arial" w:cs="Arial"/>
                <w:sz w:val="20"/>
                <w:szCs w:val="20"/>
              </w:rPr>
              <w:t>ed</w:t>
            </w:r>
            <w:r w:rsidRPr="5F4A6261">
              <w:rPr>
                <w:rFonts w:ascii="Arial" w:hAnsi="Arial" w:cs="Arial"/>
                <w:sz w:val="20"/>
                <w:szCs w:val="20"/>
              </w:rPr>
              <w:t xml:space="preserve"> where</w:t>
            </w:r>
            <w:r w:rsidR="5F1CCFD0" w:rsidRPr="5F4A6261">
              <w:rPr>
                <w:rFonts w:ascii="Arial" w:hAnsi="Arial" w:cs="Arial"/>
                <w:sz w:val="20"/>
                <w:szCs w:val="20"/>
              </w:rPr>
              <w:t xml:space="preserve"> organisations are</w:t>
            </w:r>
            <w:r w:rsidRPr="5F4A6261">
              <w:rPr>
                <w:rFonts w:ascii="Arial" w:hAnsi="Arial" w:cs="Arial"/>
                <w:sz w:val="20"/>
                <w:szCs w:val="20"/>
              </w:rPr>
              <w:t xml:space="preserve"> primarily reliant on suppli</w:t>
            </w:r>
            <w:r w:rsidR="488B71E9" w:rsidRPr="5F4A6261">
              <w:rPr>
                <w:rFonts w:ascii="Arial" w:hAnsi="Arial" w:cs="Arial"/>
                <w:sz w:val="20"/>
                <w:szCs w:val="20"/>
              </w:rPr>
              <w:t>es that are sourced internationally</w:t>
            </w:r>
            <w:r w:rsidR="15C0A424" w:rsidRPr="5F4A6261">
              <w:rPr>
                <w:rFonts w:ascii="Arial" w:hAnsi="Arial" w:cs="Arial"/>
                <w:sz w:val="20"/>
                <w:szCs w:val="20"/>
              </w:rPr>
              <w:t>.</w:t>
            </w:r>
            <w:r w:rsidRPr="5F4A6261">
              <w:rPr>
                <w:rFonts w:ascii="Arial" w:hAnsi="Arial" w:cs="Arial"/>
                <w:sz w:val="20"/>
                <w:szCs w:val="20"/>
              </w:rPr>
              <w:t xml:space="preserve"> </w:t>
            </w:r>
          </w:p>
        </w:tc>
        <w:tc>
          <w:tcPr>
            <w:tcW w:w="4206" w:type="dxa"/>
            <w:shd w:val="clear" w:color="auto" w:fill="FFFFFF" w:themeFill="background1"/>
            <w:vAlign w:val="center"/>
          </w:tcPr>
          <w:p w14:paraId="0B68A052" w14:textId="6891026B" w:rsidR="001A1406" w:rsidRPr="00306021" w:rsidRDefault="69E4D83B" w:rsidP="5E142495">
            <w:pPr>
              <w:spacing w:before="120" w:after="120"/>
              <w:rPr>
                <w:rFonts w:ascii="Arial" w:hAnsi="Arial" w:cs="Arial"/>
                <w:sz w:val="20"/>
                <w:szCs w:val="20"/>
              </w:rPr>
            </w:pPr>
            <w:r w:rsidRPr="5E142495">
              <w:rPr>
                <w:rFonts w:ascii="Arial" w:hAnsi="Arial" w:cs="Arial"/>
                <w:sz w:val="20"/>
                <w:szCs w:val="20"/>
              </w:rPr>
              <w:t>A tele</w:t>
            </w:r>
            <w:r w:rsidR="3F9D1336" w:rsidRPr="5E142495">
              <w:rPr>
                <w:rFonts w:ascii="Arial" w:hAnsi="Arial" w:cs="Arial"/>
                <w:sz w:val="20"/>
                <w:szCs w:val="20"/>
              </w:rPr>
              <w:t xml:space="preserve">communications provider </w:t>
            </w:r>
            <w:r w:rsidR="0F6ECB87" w:rsidRPr="5E142495">
              <w:rPr>
                <w:rFonts w:ascii="Arial" w:hAnsi="Arial" w:cs="Arial"/>
                <w:sz w:val="20"/>
                <w:szCs w:val="20"/>
              </w:rPr>
              <w:t>may be</w:t>
            </w:r>
            <w:r w:rsidR="3F9D1336" w:rsidRPr="5E142495">
              <w:rPr>
                <w:rFonts w:ascii="Arial" w:hAnsi="Arial" w:cs="Arial"/>
                <w:sz w:val="20"/>
                <w:szCs w:val="20"/>
              </w:rPr>
              <w:t xml:space="preserve"> reliant on a </w:t>
            </w:r>
            <w:r w:rsidR="4E46E36A" w:rsidRPr="5E142495">
              <w:rPr>
                <w:rFonts w:ascii="Arial" w:hAnsi="Arial" w:cs="Arial"/>
                <w:sz w:val="20"/>
                <w:szCs w:val="20"/>
              </w:rPr>
              <w:t xml:space="preserve">sole </w:t>
            </w:r>
            <w:r w:rsidR="4CB54BBA" w:rsidRPr="5E142495">
              <w:rPr>
                <w:rFonts w:ascii="Arial" w:hAnsi="Arial" w:cs="Arial"/>
                <w:sz w:val="20"/>
                <w:szCs w:val="20"/>
              </w:rPr>
              <w:t xml:space="preserve">or limited number of </w:t>
            </w:r>
            <w:r w:rsidR="009A2E56" w:rsidRPr="5E142495">
              <w:rPr>
                <w:rFonts w:ascii="Arial" w:hAnsi="Arial" w:cs="Arial"/>
                <w:sz w:val="20"/>
                <w:szCs w:val="20"/>
              </w:rPr>
              <w:t>third-party</w:t>
            </w:r>
            <w:r w:rsidR="3F9D1336" w:rsidRPr="5E142495">
              <w:rPr>
                <w:rFonts w:ascii="Arial" w:hAnsi="Arial" w:cs="Arial"/>
                <w:sz w:val="20"/>
                <w:szCs w:val="20"/>
              </w:rPr>
              <w:t xml:space="preserve"> supplier</w:t>
            </w:r>
            <w:r w:rsidR="4CB54BBA" w:rsidRPr="5E142495">
              <w:rPr>
                <w:rFonts w:ascii="Arial" w:hAnsi="Arial" w:cs="Arial"/>
                <w:sz w:val="20"/>
                <w:szCs w:val="20"/>
              </w:rPr>
              <w:t>s</w:t>
            </w:r>
            <w:r w:rsidR="3F9D1336" w:rsidRPr="5E142495">
              <w:rPr>
                <w:rFonts w:ascii="Arial" w:hAnsi="Arial" w:cs="Arial"/>
                <w:sz w:val="20"/>
                <w:szCs w:val="20"/>
              </w:rPr>
              <w:t xml:space="preserve"> for </w:t>
            </w:r>
            <w:r w:rsidR="723DD2EE" w:rsidRPr="5E142495">
              <w:rPr>
                <w:rFonts w:ascii="Arial" w:hAnsi="Arial" w:cs="Arial"/>
                <w:sz w:val="20"/>
                <w:szCs w:val="20"/>
              </w:rPr>
              <w:t>critical hardware components used in the</w:t>
            </w:r>
            <w:r w:rsidR="4A609176" w:rsidRPr="5E142495">
              <w:rPr>
                <w:rFonts w:ascii="Arial" w:hAnsi="Arial" w:cs="Arial"/>
                <w:sz w:val="20"/>
                <w:szCs w:val="20"/>
              </w:rPr>
              <w:t xml:space="preserve"> operations of its assets. </w:t>
            </w:r>
            <w:r w:rsidR="0F6ECB87" w:rsidRPr="5E142495">
              <w:rPr>
                <w:rFonts w:ascii="Arial" w:hAnsi="Arial" w:cs="Arial"/>
                <w:sz w:val="20"/>
                <w:szCs w:val="20"/>
              </w:rPr>
              <w:t xml:space="preserve">Where </w:t>
            </w:r>
            <w:r w:rsidR="723DD2EE" w:rsidRPr="5E142495">
              <w:rPr>
                <w:rFonts w:ascii="Arial" w:hAnsi="Arial" w:cs="Arial"/>
                <w:sz w:val="20"/>
                <w:szCs w:val="20"/>
              </w:rPr>
              <w:t xml:space="preserve">this </w:t>
            </w:r>
            <w:r w:rsidR="4BFCBEF7" w:rsidRPr="5E142495">
              <w:rPr>
                <w:rFonts w:ascii="Arial" w:hAnsi="Arial" w:cs="Arial"/>
                <w:sz w:val="20"/>
                <w:szCs w:val="20"/>
              </w:rPr>
              <w:t xml:space="preserve">major </w:t>
            </w:r>
            <w:r w:rsidR="0F6ECB87" w:rsidRPr="5E142495">
              <w:rPr>
                <w:rFonts w:ascii="Arial" w:hAnsi="Arial" w:cs="Arial"/>
                <w:sz w:val="20"/>
                <w:szCs w:val="20"/>
              </w:rPr>
              <w:t xml:space="preserve">supplier faces </w:t>
            </w:r>
            <w:r w:rsidR="55F850AF" w:rsidRPr="5E142495">
              <w:rPr>
                <w:rFonts w:ascii="Arial" w:hAnsi="Arial" w:cs="Arial"/>
                <w:sz w:val="20"/>
                <w:szCs w:val="20"/>
              </w:rPr>
              <w:t>disruptions</w:t>
            </w:r>
            <w:r w:rsidR="34E41C56" w:rsidRPr="5E142495">
              <w:rPr>
                <w:rFonts w:ascii="Arial" w:hAnsi="Arial" w:cs="Arial"/>
                <w:sz w:val="20"/>
                <w:szCs w:val="20"/>
              </w:rPr>
              <w:t>,</w:t>
            </w:r>
            <w:r w:rsidR="55F850AF" w:rsidRPr="5E142495">
              <w:rPr>
                <w:rFonts w:ascii="Arial" w:hAnsi="Arial" w:cs="Arial"/>
                <w:sz w:val="20"/>
                <w:szCs w:val="20"/>
              </w:rPr>
              <w:t xml:space="preserve"> </w:t>
            </w:r>
            <w:r w:rsidR="0F6ECB87" w:rsidRPr="5E142495">
              <w:rPr>
                <w:rFonts w:ascii="Arial" w:hAnsi="Arial" w:cs="Arial"/>
                <w:sz w:val="20"/>
                <w:szCs w:val="20"/>
              </w:rPr>
              <w:t xml:space="preserve">the </w:t>
            </w:r>
            <w:r w:rsidR="16DC213C" w:rsidRPr="5E142495">
              <w:rPr>
                <w:rFonts w:ascii="Arial" w:hAnsi="Arial" w:cs="Arial"/>
                <w:sz w:val="20"/>
                <w:szCs w:val="20"/>
              </w:rPr>
              <w:t>quality</w:t>
            </w:r>
            <w:r w:rsidR="2A7BF85B" w:rsidRPr="5E142495">
              <w:rPr>
                <w:rFonts w:ascii="Arial" w:hAnsi="Arial" w:cs="Arial"/>
                <w:sz w:val="20"/>
                <w:szCs w:val="20"/>
              </w:rPr>
              <w:t>,</w:t>
            </w:r>
            <w:r w:rsidR="7A94B505" w:rsidRPr="5E142495">
              <w:rPr>
                <w:rFonts w:ascii="Arial" w:hAnsi="Arial" w:cs="Arial"/>
                <w:sz w:val="20"/>
                <w:szCs w:val="20"/>
              </w:rPr>
              <w:t xml:space="preserve"> security</w:t>
            </w:r>
            <w:r w:rsidR="75F42A61" w:rsidRPr="5E142495">
              <w:rPr>
                <w:rFonts w:ascii="Arial" w:hAnsi="Arial" w:cs="Arial"/>
                <w:sz w:val="20"/>
                <w:szCs w:val="20"/>
              </w:rPr>
              <w:t>,</w:t>
            </w:r>
            <w:r w:rsidR="4E63E607" w:rsidRPr="5E142495">
              <w:rPr>
                <w:rFonts w:ascii="Arial" w:hAnsi="Arial" w:cs="Arial"/>
                <w:sz w:val="20"/>
                <w:szCs w:val="20"/>
              </w:rPr>
              <w:t xml:space="preserve"> and </w:t>
            </w:r>
            <w:r w:rsidR="18867A42" w:rsidRPr="5E142495">
              <w:rPr>
                <w:rFonts w:ascii="Arial" w:hAnsi="Arial" w:cs="Arial"/>
                <w:sz w:val="20"/>
                <w:szCs w:val="20"/>
              </w:rPr>
              <w:t xml:space="preserve">ability to </w:t>
            </w:r>
            <w:r w:rsidR="1E76A7F0" w:rsidRPr="5E142495">
              <w:rPr>
                <w:rFonts w:ascii="Arial" w:hAnsi="Arial" w:cs="Arial"/>
                <w:sz w:val="20"/>
                <w:szCs w:val="20"/>
              </w:rPr>
              <w:t xml:space="preserve">provide </w:t>
            </w:r>
            <w:r w:rsidR="220EE073" w:rsidRPr="5E142495">
              <w:rPr>
                <w:rFonts w:ascii="Arial" w:hAnsi="Arial" w:cs="Arial"/>
                <w:sz w:val="20"/>
                <w:szCs w:val="20"/>
              </w:rPr>
              <w:t>telecommunication services</w:t>
            </w:r>
            <w:r w:rsidR="0F6ECB87" w:rsidRPr="5E142495">
              <w:rPr>
                <w:rFonts w:ascii="Arial" w:hAnsi="Arial" w:cs="Arial"/>
                <w:sz w:val="20"/>
                <w:szCs w:val="20"/>
              </w:rPr>
              <w:t xml:space="preserve"> may be compromised</w:t>
            </w:r>
            <w:r w:rsidR="0E56E219" w:rsidRPr="5E142495">
              <w:rPr>
                <w:rFonts w:ascii="Arial" w:hAnsi="Arial" w:cs="Arial"/>
                <w:sz w:val="20"/>
                <w:szCs w:val="20"/>
              </w:rPr>
              <w:t>.</w:t>
            </w:r>
            <w:r w:rsidR="7940B80D" w:rsidRPr="5E142495">
              <w:rPr>
                <w:rFonts w:ascii="Arial" w:hAnsi="Arial" w:cs="Arial"/>
                <w:sz w:val="20"/>
                <w:szCs w:val="20"/>
              </w:rPr>
              <w:t xml:space="preserve"> </w:t>
            </w:r>
            <w:r w:rsidR="7749E5B1" w:rsidRPr="5E142495">
              <w:rPr>
                <w:rFonts w:ascii="Arial" w:hAnsi="Arial" w:cs="Arial"/>
                <w:sz w:val="20"/>
                <w:szCs w:val="20"/>
              </w:rPr>
              <w:t>T</w:t>
            </w:r>
            <w:r w:rsidR="0F6ECB87" w:rsidRPr="5E142495">
              <w:rPr>
                <w:rFonts w:ascii="Arial" w:hAnsi="Arial" w:cs="Arial"/>
                <w:sz w:val="20"/>
                <w:szCs w:val="20"/>
              </w:rPr>
              <w:t xml:space="preserve">his may </w:t>
            </w:r>
            <w:r w:rsidR="1A9F58DC" w:rsidRPr="5E142495">
              <w:rPr>
                <w:rFonts w:ascii="Arial" w:hAnsi="Arial" w:cs="Arial"/>
                <w:sz w:val="20"/>
                <w:szCs w:val="20"/>
              </w:rPr>
              <w:t>lead to widespread service disruption</w:t>
            </w:r>
            <w:r w:rsidR="0F6ECB87" w:rsidRPr="5E142495">
              <w:rPr>
                <w:rFonts w:ascii="Arial" w:hAnsi="Arial" w:cs="Arial"/>
                <w:sz w:val="20"/>
                <w:szCs w:val="20"/>
              </w:rPr>
              <w:t>s</w:t>
            </w:r>
            <w:r w:rsidR="789FCAA6" w:rsidRPr="5E142495">
              <w:rPr>
                <w:rFonts w:ascii="Arial" w:hAnsi="Arial" w:cs="Arial"/>
                <w:sz w:val="20"/>
                <w:szCs w:val="20"/>
              </w:rPr>
              <w:t xml:space="preserve"> for </w:t>
            </w:r>
            <w:r w:rsidR="00037FB3" w:rsidRPr="5E142495">
              <w:rPr>
                <w:rFonts w:ascii="Arial" w:hAnsi="Arial" w:cs="Arial"/>
                <w:sz w:val="20"/>
                <w:szCs w:val="20"/>
              </w:rPr>
              <w:t>many</w:t>
            </w:r>
            <w:r w:rsidR="789FCAA6" w:rsidRPr="5E142495">
              <w:rPr>
                <w:rFonts w:ascii="Arial" w:hAnsi="Arial" w:cs="Arial"/>
                <w:sz w:val="20"/>
                <w:szCs w:val="20"/>
              </w:rPr>
              <w:t xml:space="preserve"> customers</w:t>
            </w:r>
            <w:r w:rsidR="52C548D1" w:rsidRPr="5E142495">
              <w:rPr>
                <w:rFonts w:ascii="Arial" w:hAnsi="Arial" w:cs="Arial"/>
                <w:sz w:val="20"/>
                <w:szCs w:val="20"/>
              </w:rPr>
              <w:t xml:space="preserve"> if</w:t>
            </w:r>
            <w:r w:rsidR="1FA997F1" w:rsidRPr="5E142495">
              <w:rPr>
                <w:rFonts w:ascii="Arial" w:hAnsi="Arial" w:cs="Arial"/>
                <w:sz w:val="20"/>
                <w:szCs w:val="20"/>
              </w:rPr>
              <w:t xml:space="preserve"> the </w:t>
            </w:r>
            <w:r w:rsidR="0F34B682" w:rsidRPr="5E142495">
              <w:rPr>
                <w:rFonts w:ascii="Arial" w:hAnsi="Arial" w:cs="Arial"/>
                <w:sz w:val="20"/>
                <w:szCs w:val="20"/>
              </w:rPr>
              <w:t>supplier’s</w:t>
            </w:r>
            <w:r w:rsidR="1FA997F1" w:rsidRPr="5E142495">
              <w:rPr>
                <w:rFonts w:ascii="Arial" w:hAnsi="Arial" w:cs="Arial"/>
                <w:sz w:val="20"/>
                <w:szCs w:val="20"/>
              </w:rPr>
              <w:t xml:space="preserve"> component was unable to be delivered or malfunctions</w:t>
            </w:r>
            <w:r w:rsidR="325F0EC9" w:rsidRPr="5E142495">
              <w:rPr>
                <w:rFonts w:ascii="Arial" w:hAnsi="Arial" w:cs="Arial"/>
                <w:sz w:val="20"/>
                <w:szCs w:val="20"/>
              </w:rPr>
              <w:t xml:space="preserve"> (and no alternative is available)</w:t>
            </w:r>
            <w:r w:rsidR="0F6ECB87" w:rsidRPr="5E142495">
              <w:rPr>
                <w:rFonts w:ascii="Arial" w:hAnsi="Arial" w:cs="Arial"/>
                <w:sz w:val="20"/>
                <w:szCs w:val="20"/>
              </w:rPr>
              <w:t>.</w:t>
            </w:r>
          </w:p>
        </w:tc>
      </w:tr>
      <w:tr w:rsidR="00E53F86" w:rsidRPr="00306021" w14:paraId="70B6E437" w14:textId="77777777" w:rsidTr="5E142495">
        <w:tc>
          <w:tcPr>
            <w:tcW w:w="1276" w:type="dxa"/>
            <w:shd w:val="clear" w:color="auto" w:fill="E7E6E6" w:themeFill="background2"/>
            <w:vAlign w:val="center"/>
          </w:tcPr>
          <w:p w14:paraId="3B0D163D" w14:textId="05FD9AED" w:rsidR="00E53F86" w:rsidRPr="006E205A" w:rsidRDefault="00AF388E" w:rsidP="0079597C">
            <w:pPr>
              <w:spacing w:before="120" w:after="120"/>
              <w:rPr>
                <w:rFonts w:ascii="Arial" w:hAnsi="Arial" w:cs="Arial"/>
                <w:b/>
                <w:sz w:val="20"/>
                <w:szCs w:val="20"/>
              </w:rPr>
            </w:pPr>
            <w:r w:rsidRPr="006E205A">
              <w:rPr>
                <w:rFonts w:ascii="Arial" w:hAnsi="Arial" w:cs="Arial"/>
                <w:b/>
                <w:sz w:val="20"/>
                <w:szCs w:val="20"/>
              </w:rPr>
              <w:t>Personnel</w:t>
            </w:r>
          </w:p>
        </w:tc>
        <w:tc>
          <w:tcPr>
            <w:tcW w:w="3544" w:type="dxa"/>
            <w:shd w:val="clear" w:color="auto" w:fill="FFFFFF" w:themeFill="background1"/>
            <w:vAlign w:val="center"/>
          </w:tcPr>
          <w:p w14:paraId="001AFC74" w14:textId="144ED760" w:rsidR="00E53F86" w:rsidRPr="00306021" w:rsidRDefault="468630A4" w:rsidP="0079597C">
            <w:pPr>
              <w:spacing w:before="120" w:after="120"/>
              <w:rPr>
                <w:rFonts w:ascii="Arial" w:hAnsi="Arial" w:cs="Arial"/>
                <w:sz w:val="20"/>
                <w:szCs w:val="20"/>
              </w:rPr>
            </w:pPr>
            <w:r w:rsidRPr="70D35337">
              <w:rPr>
                <w:rFonts w:ascii="Arial" w:hAnsi="Arial" w:cs="Arial"/>
                <w:sz w:val="20"/>
                <w:szCs w:val="20"/>
              </w:rPr>
              <w:t>P</w:t>
            </w:r>
            <w:r w:rsidR="01DE163F" w:rsidRPr="70D35337">
              <w:rPr>
                <w:rFonts w:ascii="Arial" w:hAnsi="Arial" w:cs="Arial"/>
                <w:sz w:val="20"/>
                <w:szCs w:val="20"/>
              </w:rPr>
              <w:t xml:space="preserve">ersonnel with </w:t>
            </w:r>
            <w:r w:rsidR="00AF3ACA" w:rsidRPr="70D35337">
              <w:rPr>
                <w:rFonts w:ascii="Arial" w:hAnsi="Arial" w:cs="Arial"/>
                <w:sz w:val="20"/>
                <w:szCs w:val="20"/>
              </w:rPr>
              <w:t xml:space="preserve">advanced knowledge, </w:t>
            </w:r>
            <w:r w:rsidR="01DE163F" w:rsidRPr="70D35337">
              <w:rPr>
                <w:rFonts w:ascii="Arial" w:hAnsi="Arial" w:cs="Arial"/>
                <w:sz w:val="20"/>
                <w:szCs w:val="20"/>
              </w:rPr>
              <w:t xml:space="preserve">access to systems, data or premises may pose insider threat risks including espionage, infrastructure sabotage and misuse of sensitive data. </w:t>
            </w:r>
          </w:p>
        </w:tc>
        <w:tc>
          <w:tcPr>
            <w:tcW w:w="4206" w:type="dxa"/>
            <w:shd w:val="clear" w:color="auto" w:fill="FFFFFF" w:themeFill="background1"/>
            <w:vAlign w:val="center"/>
          </w:tcPr>
          <w:p w14:paraId="26539CE6" w14:textId="72B3A1A3" w:rsidR="00E53F86" w:rsidRPr="00306021" w:rsidRDefault="41B4B95C" w:rsidP="5E142495">
            <w:pPr>
              <w:pStyle w:val="NormalWeb"/>
              <w:spacing w:before="120" w:beforeAutospacing="0" w:after="120" w:afterAutospacing="0"/>
              <w:rPr>
                <w:rFonts w:ascii="Arial" w:hAnsi="Arial" w:cs="Arial"/>
                <w:sz w:val="20"/>
                <w:szCs w:val="20"/>
              </w:rPr>
            </w:pPr>
            <w:r w:rsidRPr="5E142495">
              <w:rPr>
                <w:rFonts w:ascii="Arial" w:eastAsiaTheme="minorEastAsia" w:hAnsi="Arial" w:cs="Arial"/>
                <w:sz w:val="20"/>
                <w:szCs w:val="20"/>
                <w:lang w:eastAsia="en-US"/>
              </w:rPr>
              <w:t>An</w:t>
            </w:r>
            <w:r w:rsidR="0E417955" w:rsidRPr="5E142495">
              <w:rPr>
                <w:rFonts w:ascii="Arial" w:eastAsiaTheme="minorEastAsia" w:hAnsi="Arial" w:cs="Arial"/>
                <w:sz w:val="20"/>
                <w:szCs w:val="20"/>
                <w:lang w:eastAsia="en-US"/>
              </w:rPr>
              <w:t xml:space="preserve"> employee may </w:t>
            </w:r>
            <w:r w:rsidR="0D0D741B" w:rsidRPr="5E142495">
              <w:rPr>
                <w:rFonts w:ascii="Arial" w:eastAsiaTheme="minorEastAsia" w:hAnsi="Arial" w:cs="Arial"/>
                <w:sz w:val="20"/>
                <w:szCs w:val="20"/>
                <w:lang w:eastAsia="en-US"/>
              </w:rPr>
              <w:t>access sensitive information</w:t>
            </w:r>
            <w:r w:rsidR="516CF15F" w:rsidRPr="5E142495">
              <w:rPr>
                <w:rFonts w:ascii="Arial" w:eastAsiaTheme="minorEastAsia" w:hAnsi="Arial" w:cs="Arial"/>
                <w:sz w:val="20"/>
                <w:szCs w:val="20"/>
                <w:lang w:eastAsia="en-US"/>
              </w:rPr>
              <w:t xml:space="preserve"> </w:t>
            </w:r>
            <w:r w:rsidR="0E417955" w:rsidRPr="5E142495">
              <w:rPr>
                <w:rFonts w:ascii="Arial" w:eastAsiaTheme="minorEastAsia" w:hAnsi="Arial" w:cs="Arial"/>
                <w:sz w:val="20"/>
                <w:szCs w:val="20"/>
                <w:lang w:eastAsia="en-US"/>
              </w:rPr>
              <w:t xml:space="preserve">or </w:t>
            </w:r>
            <w:r w:rsidR="516CF15F" w:rsidRPr="5E142495">
              <w:rPr>
                <w:rFonts w:ascii="Arial" w:eastAsiaTheme="minorEastAsia" w:hAnsi="Arial" w:cs="Arial"/>
                <w:sz w:val="20"/>
                <w:szCs w:val="20"/>
                <w:lang w:eastAsia="en-US"/>
              </w:rPr>
              <w:t xml:space="preserve">compromise network </w:t>
            </w:r>
            <w:r w:rsidR="32241B55" w:rsidRPr="5E142495">
              <w:rPr>
                <w:rFonts w:ascii="Arial" w:eastAsiaTheme="minorEastAsia" w:hAnsi="Arial" w:cs="Arial"/>
                <w:sz w:val="20"/>
                <w:szCs w:val="20"/>
                <w:lang w:eastAsia="en-US"/>
              </w:rPr>
              <w:t>availability</w:t>
            </w:r>
            <w:r w:rsidR="0E417955" w:rsidRPr="5E142495">
              <w:rPr>
                <w:rFonts w:ascii="Arial" w:eastAsiaTheme="minorEastAsia" w:hAnsi="Arial" w:cs="Arial"/>
                <w:sz w:val="20"/>
                <w:szCs w:val="20"/>
                <w:lang w:eastAsia="en-US"/>
              </w:rPr>
              <w:t xml:space="preserve">. This </w:t>
            </w:r>
            <w:r w:rsidR="7C579E1C" w:rsidRPr="5E142495">
              <w:rPr>
                <w:rFonts w:ascii="Arial" w:eastAsiaTheme="minorEastAsia" w:hAnsi="Arial" w:cs="Arial"/>
                <w:sz w:val="20"/>
                <w:szCs w:val="20"/>
                <w:lang w:eastAsia="en-US"/>
              </w:rPr>
              <w:t xml:space="preserve">could </w:t>
            </w:r>
            <w:r w:rsidR="0E417955" w:rsidRPr="5E142495">
              <w:rPr>
                <w:rFonts w:ascii="Arial" w:eastAsiaTheme="minorEastAsia" w:hAnsi="Arial" w:cs="Arial"/>
                <w:sz w:val="20"/>
                <w:szCs w:val="20"/>
                <w:lang w:eastAsia="en-US"/>
              </w:rPr>
              <w:t xml:space="preserve">result in theft or exposure of </w:t>
            </w:r>
            <w:r w:rsidR="4712C2E6" w:rsidRPr="5E142495">
              <w:rPr>
                <w:rFonts w:ascii="Arial" w:eastAsiaTheme="minorEastAsia" w:hAnsi="Arial" w:cs="Arial"/>
                <w:sz w:val="20"/>
                <w:szCs w:val="20"/>
                <w:lang w:eastAsia="en-US"/>
              </w:rPr>
              <w:t>sensitive</w:t>
            </w:r>
            <w:r w:rsidR="0E417955" w:rsidRPr="5E142495">
              <w:rPr>
                <w:rFonts w:ascii="Arial" w:eastAsiaTheme="minorEastAsia" w:hAnsi="Arial" w:cs="Arial"/>
                <w:sz w:val="20"/>
                <w:szCs w:val="20"/>
                <w:lang w:eastAsia="en-US"/>
              </w:rPr>
              <w:t xml:space="preserve"> information. The telecommunications provider may face consequences such as</w:t>
            </w:r>
            <w:r w:rsidR="2713D157" w:rsidRPr="5E142495">
              <w:rPr>
                <w:rFonts w:ascii="Arial" w:eastAsiaTheme="minorEastAsia" w:hAnsi="Arial" w:cs="Arial"/>
                <w:sz w:val="20"/>
                <w:szCs w:val="20"/>
                <w:lang w:eastAsia="en-US"/>
              </w:rPr>
              <w:t xml:space="preserve"> service disruptions, data breaches, </w:t>
            </w:r>
            <w:r w:rsidR="732F0262" w:rsidRPr="5E142495">
              <w:rPr>
                <w:rFonts w:ascii="Arial" w:eastAsiaTheme="minorEastAsia" w:hAnsi="Arial" w:cs="Arial"/>
                <w:sz w:val="20"/>
                <w:szCs w:val="20"/>
                <w:lang w:eastAsia="en-US"/>
              </w:rPr>
              <w:t>reputational damage and legal liability.</w:t>
            </w:r>
          </w:p>
        </w:tc>
      </w:tr>
      <w:tr w:rsidR="00AB34EC" w:rsidRPr="00306021" w14:paraId="4ACE2C72" w14:textId="77777777" w:rsidTr="5E142495">
        <w:trPr>
          <w:cantSplit/>
        </w:trPr>
        <w:tc>
          <w:tcPr>
            <w:tcW w:w="1276" w:type="dxa"/>
            <w:shd w:val="clear" w:color="auto" w:fill="E7E6E6" w:themeFill="background2"/>
            <w:vAlign w:val="center"/>
          </w:tcPr>
          <w:p w14:paraId="0E996EE5" w14:textId="2F6CF9C7" w:rsidR="00AB34EC" w:rsidRPr="006E205A" w:rsidRDefault="00AB34EC">
            <w:pPr>
              <w:rPr>
                <w:rFonts w:ascii="Arial" w:hAnsi="Arial" w:cs="Arial"/>
                <w:b/>
                <w:sz w:val="20"/>
                <w:szCs w:val="20"/>
              </w:rPr>
            </w:pPr>
            <w:r>
              <w:rPr>
                <w:rFonts w:ascii="Arial" w:hAnsi="Arial" w:cs="Arial"/>
                <w:b/>
                <w:sz w:val="20"/>
                <w:szCs w:val="20"/>
              </w:rPr>
              <w:t>Cyber</w:t>
            </w:r>
          </w:p>
        </w:tc>
        <w:tc>
          <w:tcPr>
            <w:tcW w:w="3544" w:type="dxa"/>
            <w:shd w:val="clear" w:color="auto" w:fill="FFFFFF" w:themeFill="background1"/>
            <w:vAlign w:val="center"/>
          </w:tcPr>
          <w:p w14:paraId="2F3FF4F9" w14:textId="17C4D9C8" w:rsidR="00AB34EC" w:rsidRPr="00306021" w:rsidRDefault="476A9739" w:rsidP="00845743">
            <w:pPr>
              <w:rPr>
                <w:rFonts w:ascii="Arial" w:hAnsi="Arial" w:cs="Arial"/>
                <w:sz w:val="20"/>
                <w:szCs w:val="20"/>
              </w:rPr>
            </w:pPr>
            <w:r w:rsidRPr="5E142495">
              <w:rPr>
                <w:rFonts w:ascii="Arial" w:hAnsi="Arial" w:cs="Arial"/>
                <w:sz w:val="20"/>
                <w:szCs w:val="20"/>
              </w:rPr>
              <w:t>Telecommunication</w:t>
            </w:r>
            <w:r w:rsidR="03E8E576" w:rsidRPr="5E142495">
              <w:rPr>
                <w:rFonts w:ascii="Arial" w:hAnsi="Arial" w:cs="Arial"/>
                <w:sz w:val="20"/>
                <w:szCs w:val="20"/>
              </w:rPr>
              <w:t xml:space="preserve"> assets are vulnerable to </w:t>
            </w:r>
            <w:r w:rsidR="230E31A4" w:rsidRPr="5E142495">
              <w:rPr>
                <w:rFonts w:ascii="Arial" w:hAnsi="Arial" w:cs="Arial"/>
                <w:sz w:val="20"/>
                <w:szCs w:val="20"/>
              </w:rPr>
              <w:t xml:space="preserve">thousands of attempted </w:t>
            </w:r>
            <w:r w:rsidR="03E8E576" w:rsidRPr="5E142495">
              <w:rPr>
                <w:rFonts w:ascii="Arial" w:hAnsi="Arial" w:cs="Arial"/>
                <w:sz w:val="20"/>
                <w:szCs w:val="20"/>
              </w:rPr>
              <w:t xml:space="preserve">cyber-attacks </w:t>
            </w:r>
            <w:r w:rsidR="43A7E67F" w:rsidRPr="5E142495">
              <w:rPr>
                <w:rFonts w:ascii="Arial" w:hAnsi="Arial" w:cs="Arial"/>
                <w:sz w:val="20"/>
                <w:szCs w:val="20"/>
              </w:rPr>
              <w:t>every day</w:t>
            </w:r>
            <w:r w:rsidR="03E8E576" w:rsidRPr="5E142495">
              <w:rPr>
                <w:rFonts w:ascii="Arial" w:hAnsi="Arial" w:cs="Arial"/>
                <w:sz w:val="20"/>
                <w:szCs w:val="20"/>
              </w:rPr>
              <w:t>. Due to constant improvements in infiltration capabilities, it has become easier to carry out destructive cyber-attacks</w:t>
            </w:r>
            <w:r w:rsidR="4A05FFB0" w:rsidRPr="5E142495">
              <w:rPr>
                <w:rFonts w:ascii="Arial" w:hAnsi="Arial" w:cs="Arial"/>
                <w:sz w:val="20"/>
                <w:szCs w:val="20"/>
              </w:rPr>
              <w:t>.</w:t>
            </w:r>
            <w:r w:rsidR="03E8E576" w:rsidRPr="5E142495">
              <w:rPr>
                <w:rFonts w:ascii="Arial" w:hAnsi="Arial" w:cs="Arial"/>
                <w:sz w:val="20"/>
                <w:szCs w:val="20"/>
              </w:rPr>
              <w:t xml:space="preserve"> </w:t>
            </w:r>
          </w:p>
        </w:tc>
        <w:tc>
          <w:tcPr>
            <w:tcW w:w="4206" w:type="dxa"/>
            <w:shd w:val="clear" w:color="auto" w:fill="FFFFFF" w:themeFill="background1"/>
            <w:vAlign w:val="center"/>
          </w:tcPr>
          <w:p w14:paraId="43A5CD9F" w14:textId="5BCB6159" w:rsidR="00AB34EC" w:rsidRPr="2022334E" w:rsidDel="62C9683C" w:rsidRDefault="00A953A4" w:rsidP="006E205A">
            <w:pPr>
              <w:pStyle w:val="NormalWeb"/>
              <w:rPr>
                <w:rFonts w:ascii="Arial" w:eastAsiaTheme="minorEastAsia" w:hAnsi="Arial" w:cs="Arial"/>
                <w:sz w:val="20"/>
                <w:szCs w:val="20"/>
                <w:lang w:eastAsia="en-US"/>
              </w:rPr>
            </w:pPr>
            <w:r>
              <w:rPr>
                <w:rFonts w:ascii="Arial" w:eastAsiaTheme="minorEastAsia" w:hAnsi="Arial" w:cs="Arial"/>
                <w:sz w:val="20"/>
                <w:szCs w:val="20"/>
                <w:lang w:eastAsia="en-US"/>
              </w:rPr>
              <w:t>A telecommunications provider</w:t>
            </w:r>
            <w:r w:rsidR="00E87873">
              <w:rPr>
                <w:rFonts w:ascii="Arial" w:eastAsiaTheme="minorEastAsia" w:hAnsi="Arial" w:cs="Arial"/>
                <w:sz w:val="20"/>
                <w:szCs w:val="20"/>
                <w:lang w:eastAsia="en-US"/>
              </w:rPr>
              <w:t xml:space="preserve"> faces</w:t>
            </w:r>
            <w:r w:rsidR="00EF031E">
              <w:rPr>
                <w:rFonts w:ascii="Arial" w:eastAsiaTheme="minorEastAsia" w:hAnsi="Arial" w:cs="Arial"/>
                <w:sz w:val="20"/>
                <w:szCs w:val="20"/>
                <w:lang w:eastAsia="en-US"/>
              </w:rPr>
              <w:t xml:space="preserve"> a </w:t>
            </w:r>
            <w:r w:rsidR="00310F0E">
              <w:rPr>
                <w:rFonts w:ascii="Arial" w:eastAsiaTheme="minorEastAsia" w:hAnsi="Arial" w:cs="Arial"/>
                <w:sz w:val="20"/>
                <w:szCs w:val="20"/>
                <w:lang w:eastAsia="en-US"/>
              </w:rPr>
              <w:t>cyber-attack</w:t>
            </w:r>
            <w:r w:rsidR="00EF031E">
              <w:rPr>
                <w:rFonts w:ascii="Arial" w:eastAsiaTheme="minorEastAsia" w:hAnsi="Arial" w:cs="Arial"/>
                <w:sz w:val="20"/>
                <w:szCs w:val="20"/>
                <w:lang w:eastAsia="en-US"/>
              </w:rPr>
              <w:t xml:space="preserve"> by a group of</w:t>
            </w:r>
            <w:r>
              <w:rPr>
                <w:rFonts w:ascii="Arial" w:eastAsiaTheme="minorEastAsia" w:hAnsi="Arial" w:cs="Arial"/>
                <w:sz w:val="20"/>
                <w:szCs w:val="20"/>
                <w:lang w:eastAsia="en-US"/>
              </w:rPr>
              <w:t xml:space="preserve"> </w:t>
            </w:r>
            <w:r w:rsidR="00E87873">
              <w:rPr>
                <w:rFonts w:ascii="Arial" w:eastAsiaTheme="minorEastAsia" w:hAnsi="Arial" w:cs="Arial"/>
                <w:sz w:val="20"/>
                <w:szCs w:val="20"/>
                <w:lang w:eastAsia="en-US"/>
              </w:rPr>
              <w:t>malicious actors who</w:t>
            </w:r>
            <w:r w:rsidR="00E45E56">
              <w:rPr>
                <w:rFonts w:ascii="Arial" w:eastAsiaTheme="minorEastAsia" w:hAnsi="Arial" w:cs="Arial"/>
                <w:sz w:val="20"/>
                <w:szCs w:val="20"/>
                <w:lang w:eastAsia="en-US"/>
              </w:rPr>
              <w:t xml:space="preserve"> aim to disrupt communication networks and steal sensitive data. The </w:t>
            </w:r>
            <w:r w:rsidR="00D9694D">
              <w:rPr>
                <w:rFonts w:ascii="Arial" w:eastAsiaTheme="minorEastAsia" w:hAnsi="Arial" w:cs="Arial"/>
                <w:sz w:val="20"/>
                <w:szCs w:val="20"/>
                <w:lang w:eastAsia="en-US"/>
              </w:rPr>
              <w:t>attack exploits vulnerabilities within the compan</w:t>
            </w:r>
            <w:r w:rsidR="00754498">
              <w:rPr>
                <w:rFonts w:ascii="Arial" w:eastAsiaTheme="minorEastAsia" w:hAnsi="Arial" w:cs="Arial"/>
                <w:sz w:val="20"/>
                <w:szCs w:val="20"/>
                <w:lang w:eastAsia="en-US"/>
              </w:rPr>
              <w:t>y’s</w:t>
            </w:r>
            <w:r w:rsidR="00D9694D">
              <w:rPr>
                <w:rFonts w:ascii="Arial" w:eastAsiaTheme="minorEastAsia" w:hAnsi="Arial" w:cs="Arial"/>
                <w:sz w:val="20"/>
                <w:szCs w:val="20"/>
                <w:lang w:eastAsia="en-US"/>
              </w:rPr>
              <w:t xml:space="preserve"> </w:t>
            </w:r>
            <w:r w:rsidR="00150177">
              <w:rPr>
                <w:rFonts w:ascii="Arial" w:eastAsiaTheme="minorEastAsia" w:hAnsi="Arial" w:cs="Arial"/>
                <w:sz w:val="20"/>
                <w:szCs w:val="20"/>
                <w:lang w:eastAsia="en-US"/>
              </w:rPr>
              <w:t>software, network</w:t>
            </w:r>
            <w:r w:rsidR="00E22B19">
              <w:rPr>
                <w:rFonts w:ascii="Arial" w:eastAsiaTheme="minorEastAsia" w:hAnsi="Arial" w:cs="Arial"/>
                <w:sz w:val="20"/>
                <w:szCs w:val="20"/>
                <w:lang w:eastAsia="en-US"/>
              </w:rPr>
              <w:t xml:space="preserve"> and employee devices to gain unauthorised access </w:t>
            </w:r>
            <w:r w:rsidR="00310F0E">
              <w:rPr>
                <w:rFonts w:ascii="Arial" w:eastAsiaTheme="minorEastAsia" w:hAnsi="Arial" w:cs="Arial"/>
                <w:sz w:val="20"/>
                <w:szCs w:val="20"/>
                <w:lang w:eastAsia="en-US"/>
              </w:rPr>
              <w:t>to company data.</w:t>
            </w:r>
            <w:r w:rsidR="00E87873">
              <w:rPr>
                <w:rFonts w:ascii="Arial" w:eastAsiaTheme="minorEastAsia" w:hAnsi="Arial" w:cs="Arial"/>
                <w:sz w:val="20"/>
                <w:szCs w:val="20"/>
                <w:lang w:eastAsia="en-US"/>
              </w:rPr>
              <w:t xml:space="preserve"> </w:t>
            </w:r>
          </w:p>
        </w:tc>
      </w:tr>
    </w:tbl>
    <w:p w14:paraId="59F150B5" w14:textId="74290E61" w:rsidR="00E07DE5" w:rsidRPr="005E7E2A" w:rsidRDefault="00E07DE5" w:rsidP="00E71D72">
      <w:pPr>
        <w:pStyle w:val="Heading2"/>
      </w:pPr>
      <w:r>
        <w:t xml:space="preserve">Existing </w:t>
      </w:r>
      <w:r w:rsidR="0055633C">
        <w:t>l</w:t>
      </w:r>
      <w:r>
        <w:t xml:space="preserve">egislation </w:t>
      </w:r>
      <w:r w:rsidR="0055633C">
        <w:t>r</w:t>
      </w:r>
      <w:r>
        <w:t xml:space="preserve">elated to </w:t>
      </w:r>
      <w:r w:rsidR="621CA52F">
        <w:t xml:space="preserve">Telecommunications assets and </w:t>
      </w:r>
      <w:r w:rsidR="4A1E1929">
        <w:t>entities</w:t>
      </w:r>
      <w:r w:rsidR="621CA52F">
        <w:t xml:space="preserve"> </w:t>
      </w:r>
      <w:r w:rsidR="002B6A94">
        <w:t xml:space="preserve">of the </w:t>
      </w:r>
      <w:r>
        <w:t>Australian Telecommunications Sector</w:t>
      </w:r>
    </w:p>
    <w:tbl>
      <w:tblPr>
        <w:tblStyle w:val="TableGrid"/>
        <w:tblW w:w="9026" w:type="dxa"/>
        <w:tblBorders>
          <w:top w:val="none" w:sz="0" w:space="0" w:color="auto"/>
          <w:left w:val="none" w:sz="0" w:space="0" w:color="auto"/>
          <w:bottom w:val="single" w:sz="4" w:space="0" w:color="A5A5A5" w:themeColor="accent3"/>
          <w:right w:val="none" w:sz="0" w:space="0" w:color="auto"/>
          <w:insideH w:val="single" w:sz="4" w:space="0" w:color="A5A5A5" w:themeColor="accent3"/>
          <w:insideV w:val="none" w:sz="0" w:space="0" w:color="auto"/>
        </w:tblBorders>
        <w:tblLook w:val="04A0" w:firstRow="1" w:lastRow="0" w:firstColumn="1" w:lastColumn="0" w:noHBand="0" w:noVBand="1"/>
      </w:tblPr>
      <w:tblGrid>
        <w:gridCol w:w="1276"/>
        <w:gridCol w:w="3112"/>
        <w:gridCol w:w="4638"/>
      </w:tblGrid>
      <w:tr w:rsidR="00824C3C" w:rsidRPr="00C1798F" w14:paraId="680B3E4C" w14:textId="0A316099" w:rsidTr="00030761">
        <w:trPr>
          <w:trHeight w:val="366"/>
          <w:tblHeader/>
        </w:trPr>
        <w:tc>
          <w:tcPr>
            <w:tcW w:w="4388" w:type="dxa"/>
            <w:gridSpan w:val="2"/>
            <w:shd w:val="clear" w:color="auto" w:fill="284B98"/>
            <w:vAlign w:val="center"/>
          </w:tcPr>
          <w:p w14:paraId="596933A2" w14:textId="7F21FE3E" w:rsidR="00824C3C" w:rsidRPr="00C1798F" w:rsidRDefault="00824C3C" w:rsidP="00030761">
            <w:pPr>
              <w:spacing w:before="120" w:after="120"/>
              <w:jc w:val="center"/>
              <w:rPr>
                <w:rFonts w:ascii="Arial" w:hAnsi="Arial" w:cs="Arial"/>
                <w:b/>
                <w:color w:val="FFFFFF" w:themeColor="background1"/>
                <w:sz w:val="20"/>
                <w:szCs w:val="20"/>
              </w:rPr>
            </w:pPr>
            <w:r w:rsidRPr="00C1798F">
              <w:rPr>
                <w:rFonts w:ascii="Arial" w:hAnsi="Arial" w:cs="Arial"/>
                <w:b/>
                <w:color w:val="FFFFFF" w:themeColor="background1"/>
                <w:sz w:val="20"/>
                <w:szCs w:val="20"/>
              </w:rPr>
              <w:t>Overview of Regulation</w:t>
            </w:r>
          </w:p>
        </w:tc>
        <w:tc>
          <w:tcPr>
            <w:tcW w:w="4638" w:type="dxa"/>
            <w:shd w:val="clear" w:color="auto" w:fill="284B98"/>
            <w:vAlign w:val="center"/>
          </w:tcPr>
          <w:p w14:paraId="33EEB7BB" w14:textId="3AB30E17" w:rsidR="00824C3C" w:rsidRPr="00C1798F" w:rsidRDefault="00824C3C" w:rsidP="00030761">
            <w:pPr>
              <w:spacing w:before="120" w:after="120"/>
              <w:jc w:val="center"/>
              <w:rPr>
                <w:rFonts w:ascii="Arial" w:hAnsi="Arial" w:cs="Arial"/>
                <w:b/>
                <w:color w:val="FFFFFF" w:themeColor="background1"/>
                <w:sz w:val="20"/>
                <w:szCs w:val="20"/>
              </w:rPr>
            </w:pPr>
            <w:r w:rsidRPr="00C1798F">
              <w:rPr>
                <w:rFonts w:ascii="Arial" w:hAnsi="Arial" w:cs="Arial"/>
                <w:b/>
                <w:color w:val="FFFFFF" w:themeColor="background1"/>
                <w:sz w:val="20"/>
                <w:szCs w:val="20"/>
              </w:rPr>
              <w:t>Identified Gaps</w:t>
            </w:r>
          </w:p>
        </w:tc>
      </w:tr>
      <w:tr w:rsidR="00824C3C" w:rsidRPr="00C1798F" w14:paraId="4664F019" w14:textId="241B1D60" w:rsidTr="00030761">
        <w:trPr>
          <w:cantSplit/>
          <w:trHeight w:val="1361"/>
        </w:trPr>
        <w:tc>
          <w:tcPr>
            <w:tcW w:w="1276" w:type="dxa"/>
            <w:shd w:val="clear" w:color="auto" w:fill="E7E6E6" w:themeFill="background2"/>
            <w:textDirection w:val="btLr"/>
            <w:vAlign w:val="center"/>
          </w:tcPr>
          <w:p w14:paraId="5FCF6806" w14:textId="664A0F8C" w:rsidR="00824C3C" w:rsidRPr="0079597C" w:rsidRDefault="00824C3C" w:rsidP="00B17A6F">
            <w:pPr>
              <w:spacing w:before="120" w:after="120" w:line="259" w:lineRule="auto"/>
              <w:ind w:left="113" w:right="113"/>
              <w:contextualSpacing/>
              <w:jc w:val="center"/>
              <w:rPr>
                <w:rFonts w:ascii="Arial" w:hAnsi="Arial" w:cs="Arial"/>
                <w:b/>
                <w:sz w:val="20"/>
                <w:szCs w:val="20"/>
              </w:rPr>
            </w:pPr>
            <w:r w:rsidRPr="0079597C">
              <w:rPr>
                <w:rFonts w:ascii="Arial" w:hAnsi="Arial" w:cs="Arial"/>
                <w:b/>
                <w:i/>
                <w:sz w:val="20"/>
                <w:szCs w:val="20"/>
              </w:rPr>
              <w:t>Security of Critical Infrastructure Act 2018</w:t>
            </w:r>
          </w:p>
        </w:tc>
        <w:tc>
          <w:tcPr>
            <w:tcW w:w="3112" w:type="dxa"/>
            <w:shd w:val="clear" w:color="auto" w:fill="FFFFFF" w:themeFill="background1"/>
            <w:vAlign w:val="center"/>
          </w:tcPr>
          <w:p w14:paraId="4B13B33E" w14:textId="3AFAD868" w:rsidR="00824C3C" w:rsidRPr="00C1798F" w:rsidRDefault="00824C3C" w:rsidP="16AFC5D1">
            <w:pPr>
              <w:pStyle w:val="NormalWeb"/>
              <w:shd w:val="clear" w:color="auto" w:fill="FFFFFF" w:themeFill="background1"/>
              <w:spacing w:before="120" w:beforeAutospacing="0" w:after="120" w:afterAutospacing="0"/>
              <w:contextualSpacing/>
              <w:rPr>
                <w:rFonts w:ascii="Arial" w:eastAsiaTheme="minorEastAsia" w:hAnsi="Arial" w:cs="Arial"/>
                <w:sz w:val="20"/>
                <w:szCs w:val="20"/>
                <w:lang w:eastAsia="en-US"/>
              </w:rPr>
            </w:pPr>
            <w:r w:rsidRPr="16AFC5D1">
              <w:rPr>
                <w:rFonts w:ascii="Arial" w:eastAsiaTheme="minorEastAsia" w:hAnsi="Arial" w:cs="Arial"/>
                <w:sz w:val="20"/>
                <w:szCs w:val="20"/>
                <w:lang w:eastAsia="en-US"/>
              </w:rPr>
              <w:t xml:space="preserve">The SOCI Act manages national security risks in Australia’s critical infrastructure assets. The SOCI Act applies to eleven sectors including communications, data storage and processing and energy. </w:t>
            </w:r>
          </w:p>
          <w:p w14:paraId="479AAF42" w14:textId="77777777" w:rsidR="00824C3C" w:rsidRPr="00C1798F" w:rsidRDefault="00824C3C" w:rsidP="0079597C">
            <w:pPr>
              <w:pStyle w:val="NormalWeb"/>
              <w:shd w:val="clear" w:color="auto" w:fill="FFFFFF"/>
              <w:spacing w:before="120" w:beforeAutospacing="0" w:after="120" w:afterAutospacing="0"/>
              <w:contextualSpacing/>
              <w:rPr>
                <w:rFonts w:ascii="Arial" w:eastAsiaTheme="minorHAnsi" w:hAnsi="Arial" w:cs="Arial"/>
                <w:sz w:val="20"/>
                <w:szCs w:val="20"/>
                <w:lang w:eastAsia="en-US"/>
              </w:rPr>
            </w:pPr>
          </w:p>
          <w:p w14:paraId="107B4E8B" w14:textId="4DD03554" w:rsidR="00824C3C" w:rsidRPr="00C1798F" w:rsidRDefault="00824C3C" w:rsidP="16AFC5D1">
            <w:pPr>
              <w:pStyle w:val="NormalWeb"/>
              <w:shd w:val="clear" w:color="auto" w:fill="FFFFFF" w:themeFill="background1"/>
              <w:spacing w:before="120" w:beforeAutospacing="0" w:after="120" w:afterAutospacing="0"/>
              <w:contextualSpacing/>
              <w:rPr>
                <w:rFonts w:ascii="Arial" w:eastAsiaTheme="minorEastAsia" w:hAnsi="Arial" w:cs="Arial"/>
                <w:sz w:val="20"/>
                <w:szCs w:val="20"/>
                <w:lang w:eastAsia="en-US"/>
              </w:rPr>
            </w:pPr>
            <w:r w:rsidRPr="16AFC5D1">
              <w:rPr>
                <w:rFonts w:ascii="Arial" w:eastAsiaTheme="minorEastAsia" w:hAnsi="Arial" w:cs="Arial"/>
                <w:sz w:val="20"/>
                <w:szCs w:val="20"/>
                <w:lang w:eastAsia="en-US"/>
              </w:rPr>
              <w:t xml:space="preserve">The SOCI Act establishes: </w:t>
            </w:r>
          </w:p>
          <w:p w14:paraId="05B0F64C" w14:textId="54D30740" w:rsidR="00824C3C" w:rsidRPr="00C1798F" w:rsidRDefault="00824C3C" w:rsidP="5E142495">
            <w:pPr>
              <w:pStyle w:val="NormalWeb"/>
              <w:numPr>
                <w:ilvl w:val="0"/>
                <w:numId w:val="22"/>
              </w:numPr>
              <w:shd w:val="clear" w:color="auto" w:fill="FFFFFF" w:themeFill="background1"/>
              <w:spacing w:before="120" w:beforeAutospacing="0" w:after="120" w:afterAutospacing="0"/>
              <w:contextualSpacing/>
              <w:rPr>
                <w:rFonts w:ascii="Arial" w:eastAsiaTheme="minorEastAsia" w:hAnsi="Arial" w:cs="Arial"/>
                <w:sz w:val="20"/>
                <w:szCs w:val="20"/>
                <w:lang w:eastAsia="en-US"/>
              </w:rPr>
            </w:pPr>
            <w:r w:rsidRPr="5E142495">
              <w:rPr>
                <w:rFonts w:ascii="Arial" w:eastAsiaTheme="minorEastAsia" w:hAnsi="Arial" w:cs="Arial"/>
                <w:sz w:val="20"/>
                <w:szCs w:val="20"/>
                <w:lang w:eastAsia="en-US"/>
              </w:rPr>
              <w:t>the requirement to adopt and maintain a written risk management program</w:t>
            </w:r>
            <w:r w:rsidR="00242D66">
              <w:rPr>
                <w:rFonts w:ascii="Arial" w:eastAsiaTheme="minorEastAsia" w:hAnsi="Arial" w:cs="Arial"/>
                <w:sz w:val="20"/>
                <w:szCs w:val="20"/>
                <w:lang w:eastAsia="en-US"/>
              </w:rPr>
              <w:t>;</w:t>
            </w:r>
          </w:p>
          <w:p w14:paraId="786DC5A1" w14:textId="3ECA11E5" w:rsidR="00824C3C" w:rsidRPr="00C1798F" w:rsidRDefault="00824C3C" w:rsidP="5E142495">
            <w:pPr>
              <w:pStyle w:val="NormalWeb"/>
              <w:numPr>
                <w:ilvl w:val="0"/>
                <w:numId w:val="22"/>
              </w:numPr>
              <w:shd w:val="clear" w:color="auto" w:fill="FFFFFF" w:themeFill="background1"/>
              <w:spacing w:before="120" w:beforeAutospacing="0" w:after="120" w:afterAutospacing="0"/>
              <w:contextualSpacing/>
              <w:rPr>
                <w:rFonts w:ascii="Arial" w:eastAsiaTheme="minorEastAsia" w:hAnsi="Arial" w:cs="Arial"/>
                <w:sz w:val="20"/>
                <w:szCs w:val="20"/>
                <w:lang w:eastAsia="en-US"/>
              </w:rPr>
            </w:pPr>
            <w:r w:rsidRPr="5E142495">
              <w:rPr>
                <w:rFonts w:ascii="Arial" w:eastAsiaTheme="minorEastAsia" w:hAnsi="Arial" w:cs="Arial"/>
                <w:sz w:val="20"/>
                <w:szCs w:val="20"/>
                <w:lang w:eastAsia="en-US"/>
              </w:rPr>
              <w:t>reporting requirements in the event of cyber incidents which impact on the availability, integrity, reliability, and confidentiality of the asset to the Australian Cyber Security Centre</w:t>
            </w:r>
            <w:r w:rsidR="00242D66">
              <w:rPr>
                <w:rFonts w:ascii="Arial" w:eastAsiaTheme="minorEastAsia" w:hAnsi="Arial" w:cs="Arial"/>
                <w:sz w:val="20"/>
                <w:szCs w:val="20"/>
                <w:lang w:eastAsia="en-US"/>
              </w:rPr>
              <w:t>;</w:t>
            </w:r>
          </w:p>
          <w:p w14:paraId="25B09DA6" w14:textId="691D4A64" w:rsidR="00824C3C" w:rsidRPr="00C1798F" w:rsidRDefault="00824C3C" w:rsidP="0079597C">
            <w:pPr>
              <w:pStyle w:val="NormalWeb"/>
              <w:numPr>
                <w:ilvl w:val="0"/>
                <w:numId w:val="22"/>
              </w:numPr>
              <w:shd w:val="clear" w:color="auto" w:fill="FFFFFF"/>
              <w:spacing w:before="120" w:beforeAutospacing="0" w:after="120" w:afterAutospacing="0"/>
              <w:contextualSpacing/>
              <w:rPr>
                <w:rFonts w:ascii="Arial" w:eastAsiaTheme="minorHAnsi" w:hAnsi="Arial" w:cs="Arial"/>
                <w:sz w:val="20"/>
                <w:szCs w:val="20"/>
                <w:lang w:eastAsia="en-US"/>
              </w:rPr>
            </w:pPr>
            <w:r w:rsidRPr="00C1798F">
              <w:rPr>
                <w:rFonts w:ascii="Arial" w:eastAsiaTheme="minorHAnsi" w:hAnsi="Arial" w:cs="Arial"/>
                <w:sz w:val="20"/>
                <w:szCs w:val="20"/>
                <w:lang w:eastAsia="en-US"/>
              </w:rPr>
              <w:t>obligations to provide operational and ownership information to the Register of Critical Infrastructure Assets</w:t>
            </w:r>
            <w:r w:rsidR="00242D66">
              <w:rPr>
                <w:rFonts w:ascii="Arial" w:eastAsiaTheme="minorHAnsi" w:hAnsi="Arial" w:cs="Arial"/>
                <w:sz w:val="20"/>
                <w:szCs w:val="20"/>
                <w:lang w:eastAsia="en-US"/>
              </w:rPr>
              <w:t>;</w:t>
            </w:r>
          </w:p>
          <w:p w14:paraId="0567AAED" w14:textId="24627AF6" w:rsidR="00824C3C" w:rsidRPr="00C1798F" w:rsidRDefault="00824C3C" w:rsidP="5E142495">
            <w:pPr>
              <w:pStyle w:val="NormalWeb"/>
              <w:numPr>
                <w:ilvl w:val="0"/>
                <w:numId w:val="22"/>
              </w:numPr>
              <w:shd w:val="clear" w:color="auto" w:fill="FFFFFF" w:themeFill="background1"/>
              <w:spacing w:before="120" w:beforeAutospacing="0" w:after="120" w:afterAutospacing="0"/>
              <w:contextualSpacing/>
              <w:rPr>
                <w:rFonts w:ascii="Arial" w:eastAsiaTheme="minorEastAsia" w:hAnsi="Arial" w:cs="Arial"/>
                <w:sz w:val="20"/>
                <w:szCs w:val="20"/>
                <w:lang w:eastAsia="en-US"/>
              </w:rPr>
            </w:pPr>
            <w:proofErr w:type="gramStart"/>
            <w:r w:rsidRPr="5E142495">
              <w:rPr>
                <w:rFonts w:ascii="Arial" w:eastAsiaTheme="minorEastAsia" w:hAnsi="Arial" w:cs="Arial"/>
                <w:sz w:val="20"/>
                <w:szCs w:val="20"/>
                <w:lang w:eastAsia="en-US"/>
              </w:rPr>
              <w:t>last</w:t>
            </w:r>
            <w:proofErr w:type="gramEnd"/>
            <w:r w:rsidRPr="5E142495">
              <w:rPr>
                <w:rFonts w:ascii="Arial" w:eastAsiaTheme="minorEastAsia" w:hAnsi="Arial" w:cs="Arial"/>
                <w:sz w:val="20"/>
                <w:szCs w:val="20"/>
                <w:lang w:eastAsia="en-US"/>
              </w:rPr>
              <w:t xml:space="preserve"> resort government assistance measures for incident response.</w:t>
            </w:r>
          </w:p>
          <w:p w14:paraId="7C90E391" w14:textId="23BBD41E" w:rsidR="00824C3C" w:rsidRPr="00C1798F" w:rsidRDefault="00824C3C" w:rsidP="5F4A6261">
            <w:pPr>
              <w:pStyle w:val="NormalWeb"/>
              <w:numPr>
                <w:ilvl w:val="0"/>
                <w:numId w:val="22"/>
              </w:numPr>
              <w:shd w:val="clear" w:color="auto" w:fill="FFFFFF" w:themeFill="background1"/>
              <w:spacing w:before="120" w:beforeAutospacing="0" w:after="120" w:afterAutospacing="0"/>
              <w:contextualSpacing/>
              <w:rPr>
                <w:rFonts w:ascii="Arial" w:eastAsiaTheme="minorEastAsia" w:hAnsi="Arial" w:cs="Arial"/>
                <w:sz w:val="20"/>
                <w:szCs w:val="20"/>
                <w:lang w:eastAsia="en-US"/>
              </w:rPr>
            </w:pPr>
            <w:r w:rsidRPr="5F4A6261">
              <w:rPr>
                <w:rFonts w:ascii="Arial" w:eastAsiaTheme="minorEastAsia" w:hAnsi="Arial" w:cs="Arial"/>
                <w:sz w:val="20"/>
                <w:szCs w:val="20"/>
                <w:lang w:eastAsia="en-US"/>
              </w:rPr>
              <w:t>measures to protect sensitive information about critical assets</w:t>
            </w:r>
            <w:r w:rsidR="00242D66">
              <w:rPr>
                <w:rFonts w:ascii="Arial" w:eastAsiaTheme="minorEastAsia" w:hAnsi="Arial" w:cs="Arial"/>
                <w:sz w:val="20"/>
                <w:szCs w:val="20"/>
                <w:lang w:eastAsia="en-US"/>
              </w:rPr>
              <w:t>;</w:t>
            </w:r>
            <w:r w:rsidRPr="5F4A6261">
              <w:rPr>
                <w:rFonts w:ascii="Arial" w:eastAsiaTheme="minorEastAsia" w:hAnsi="Arial" w:cs="Arial"/>
                <w:sz w:val="20"/>
                <w:szCs w:val="20"/>
                <w:lang w:eastAsia="en-US"/>
              </w:rPr>
              <w:t xml:space="preserve"> </w:t>
            </w:r>
          </w:p>
          <w:p w14:paraId="32D6A757" w14:textId="204F020C" w:rsidR="00824C3C" w:rsidRPr="00C1798F" w:rsidRDefault="00824C3C" w:rsidP="5E142495">
            <w:pPr>
              <w:pStyle w:val="NormalWeb"/>
              <w:numPr>
                <w:ilvl w:val="0"/>
                <w:numId w:val="22"/>
              </w:numPr>
              <w:shd w:val="clear" w:color="auto" w:fill="FFFFFF" w:themeFill="background1"/>
              <w:spacing w:before="120" w:beforeAutospacing="0" w:after="120" w:afterAutospacing="0"/>
              <w:contextualSpacing/>
              <w:rPr>
                <w:rFonts w:ascii="Arial" w:eastAsiaTheme="minorEastAsia" w:hAnsi="Arial" w:cs="Arial"/>
                <w:sz w:val="20"/>
                <w:szCs w:val="20"/>
                <w:lang w:eastAsia="en-US"/>
              </w:rPr>
            </w:pPr>
            <w:proofErr w:type="gramStart"/>
            <w:r w:rsidRPr="5E142495">
              <w:rPr>
                <w:rFonts w:ascii="Arial" w:eastAsiaTheme="minorEastAsia" w:hAnsi="Arial" w:cs="Arial"/>
                <w:sz w:val="20"/>
                <w:szCs w:val="20"/>
                <w:lang w:eastAsia="en-US"/>
              </w:rPr>
              <w:t>enhanced</w:t>
            </w:r>
            <w:proofErr w:type="gramEnd"/>
            <w:r w:rsidRPr="5E142495">
              <w:rPr>
                <w:rFonts w:ascii="Arial" w:eastAsiaTheme="minorEastAsia" w:hAnsi="Arial" w:cs="Arial"/>
                <w:sz w:val="20"/>
                <w:szCs w:val="20"/>
                <w:lang w:eastAsia="en-US"/>
              </w:rPr>
              <w:t xml:space="preserve"> Cyber Security Obligations’ applied to ‘Systems of National Significance’ (</w:t>
            </w:r>
            <w:proofErr w:type="spellStart"/>
            <w:r w:rsidRPr="5E142495">
              <w:rPr>
                <w:rFonts w:ascii="Arial" w:eastAsiaTheme="minorEastAsia" w:hAnsi="Arial" w:cs="Arial"/>
                <w:sz w:val="20"/>
                <w:szCs w:val="20"/>
                <w:lang w:eastAsia="en-US"/>
              </w:rPr>
              <w:t>SoNS</w:t>
            </w:r>
            <w:proofErr w:type="spellEnd"/>
            <w:r w:rsidRPr="5E142495">
              <w:rPr>
                <w:rFonts w:ascii="Arial" w:eastAsiaTheme="minorEastAsia" w:hAnsi="Arial" w:cs="Arial"/>
                <w:sz w:val="20"/>
                <w:szCs w:val="20"/>
                <w:lang w:eastAsia="en-US"/>
              </w:rPr>
              <w:t>).</w:t>
            </w:r>
          </w:p>
        </w:tc>
        <w:tc>
          <w:tcPr>
            <w:tcW w:w="4638" w:type="dxa"/>
            <w:shd w:val="clear" w:color="auto" w:fill="FFFFFF" w:themeFill="background1"/>
            <w:vAlign w:val="center"/>
          </w:tcPr>
          <w:p w14:paraId="62EA2EDA" w14:textId="77777777" w:rsidR="003829EA" w:rsidRDefault="003829EA" w:rsidP="5E142495">
            <w:pPr>
              <w:pStyle w:val="pf0"/>
              <w:spacing w:before="120" w:beforeAutospacing="0" w:after="120" w:afterAutospacing="0"/>
              <w:contextualSpacing/>
              <w:rPr>
                <w:rFonts w:ascii="Arial" w:hAnsi="Arial" w:cs="Arial"/>
                <w:sz w:val="20"/>
                <w:szCs w:val="20"/>
              </w:rPr>
            </w:pPr>
            <w:r>
              <w:rPr>
                <w:rFonts w:ascii="Arial" w:hAnsi="Arial" w:cs="Arial"/>
                <w:sz w:val="20"/>
                <w:szCs w:val="20"/>
              </w:rPr>
              <w:t>Critical t</w:t>
            </w:r>
            <w:r w:rsidR="00824C3C" w:rsidRPr="5E142495">
              <w:rPr>
                <w:rFonts w:ascii="Arial" w:hAnsi="Arial" w:cs="Arial"/>
                <w:sz w:val="20"/>
                <w:szCs w:val="20"/>
              </w:rPr>
              <w:t>elecommunications assets are not currently subject to obligations under the SOCI Act, except</w:t>
            </w:r>
            <w:r>
              <w:rPr>
                <w:rFonts w:ascii="Arial" w:hAnsi="Arial" w:cs="Arial"/>
                <w:sz w:val="20"/>
                <w:szCs w:val="20"/>
              </w:rPr>
              <w:t xml:space="preserve"> any enhanced cyber security obligations that are applied to </w:t>
            </w:r>
            <w:proofErr w:type="gramStart"/>
            <w:r>
              <w:rPr>
                <w:rFonts w:ascii="Arial" w:hAnsi="Arial" w:cs="Arial"/>
                <w:sz w:val="20"/>
                <w:szCs w:val="20"/>
              </w:rPr>
              <w:t>declared</w:t>
            </w:r>
            <w:proofErr w:type="gramEnd"/>
            <w:r>
              <w:rPr>
                <w:rFonts w:ascii="Arial" w:hAnsi="Arial" w:cs="Arial"/>
                <w:sz w:val="20"/>
                <w:szCs w:val="20"/>
              </w:rPr>
              <w:t xml:space="preserve"> </w:t>
            </w:r>
            <w:proofErr w:type="spellStart"/>
            <w:r>
              <w:rPr>
                <w:rFonts w:ascii="Arial" w:hAnsi="Arial" w:cs="Arial"/>
                <w:sz w:val="20"/>
                <w:szCs w:val="20"/>
              </w:rPr>
              <w:t>SoNS</w:t>
            </w:r>
            <w:proofErr w:type="spellEnd"/>
            <w:r>
              <w:rPr>
                <w:rFonts w:ascii="Arial" w:hAnsi="Arial" w:cs="Arial"/>
                <w:sz w:val="20"/>
                <w:szCs w:val="20"/>
              </w:rPr>
              <w:t xml:space="preserve">. </w:t>
            </w:r>
          </w:p>
          <w:p w14:paraId="65999CDD" w14:textId="77777777" w:rsidR="003829EA" w:rsidRDefault="003829EA" w:rsidP="5E142495">
            <w:pPr>
              <w:pStyle w:val="pf0"/>
              <w:spacing w:before="120" w:beforeAutospacing="0" w:after="120" w:afterAutospacing="0"/>
              <w:contextualSpacing/>
              <w:rPr>
                <w:rFonts w:ascii="Arial" w:hAnsi="Arial" w:cs="Arial"/>
                <w:sz w:val="20"/>
                <w:szCs w:val="20"/>
              </w:rPr>
            </w:pPr>
          </w:p>
          <w:p w14:paraId="390A19E1" w14:textId="4A0777E1" w:rsidR="00824C3C" w:rsidRDefault="003829EA" w:rsidP="5E142495">
            <w:pPr>
              <w:pStyle w:val="pf0"/>
              <w:spacing w:before="120" w:beforeAutospacing="0" w:after="120" w:afterAutospacing="0"/>
              <w:contextualSpacing/>
              <w:rPr>
                <w:rFonts w:ascii="Arial" w:hAnsi="Arial" w:cs="Arial"/>
                <w:sz w:val="20"/>
                <w:szCs w:val="20"/>
              </w:rPr>
            </w:pPr>
            <w:r>
              <w:rPr>
                <w:rFonts w:ascii="Arial" w:hAnsi="Arial" w:cs="Arial"/>
                <w:sz w:val="20"/>
                <w:szCs w:val="20"/>
              </w:rPr>
              <w:t xml:space="preserve">Where they are not </w:t>
            </w:r>
            <w:proofErr w:type="spellStart"/>
            <w:r>
              <w:rPr>
                <w:rFonts w:ascii="Arial" w:hAnsi="Arial" w:cs="Arial"/>
                <w:sz w:val="20"/>
                <w:szCs w:val="20"/>
              </w:rPr>
              <w:t>SoNS</w:t>
            </w:r>
            <w:proofErr w:type="spellEnd"/>
            <w:r>
              <w:rPr>
                <w:rFonts w:ascii="Arial" w:hAnsi="Arial" w:cs="Arial"/>
                <w:sz w:val="20"/>
                <w:szCs w:val="20"/>
              </w:rPr>
              <w:t>, critical telecommunications assets are currently only subject</w:t>
            </w:r>
            <w:r w:rsidR="00824C3C" w:rsidRPr="5E142495">
              <w:rPr>
                <w:rFonts w:ascii="Arial" w:hAnsi="Arial" w:cs="Arial"/>
                <w:sz w:val="20"/>
                <w:szCs w:val="20"/>
              </w:rPr>
              <w:t xml:space="preserve"> to the obligation to notify data storage providers if they store or process business critical data. </w:t>
            </w:r>
          </w:p>
          <w:p w14:paraId="6FDE836D" w14:textId="50981836" w:rsidR="00824C3C" w:rsidRPr="007F639E" w:rsidRDefault="00824C3C" w:rsidP="0079597C">
            <w:pPr>
              <w:pStyle w:val="pf0"/>
              <w:spacing w:before="120" w:beforeAutospacing="0" w:after="120" w:afterAutospacing="0"/>
              <w:contextualSpacing/>
              <w:rPr>
                <w:rFonts w:ascii="Arial" w:hAnsi="Arial" w:cs="Arial"/>
                <w:i/>
                <w:iCs/>
                <w:sz w:val="20"/>
                <w:szCs w:val="20"/>
                <w:shd w:val="clear" w:color="auto" w:fill="FFFFFF"/>
              </w:rPr>
            </w:pPr>
          </w:p>
        </w:tc>
      </w:tr>
      <w:tr w:rsidR="00824C3C" w:rsidRPr="00C1798F" w14:paraId="01838AAD" w14:textId="104C9E06" w:rsidTr="00030761">
        <w:trPr>
          <w:cantSplit/>
          <w:trHeight w:val="1361"/>
        </w:trPr>
        <w:tc>
          <w:tcPr>
            <w:tcW w:w="1276" w:type="dxa"/>
            <w:shd w:val="clear" w:color="auto" w:fill="E7E6E6" w:themeFill="background2"/>
            <w:textDirection w:val="btLr"/>
            <w:vAlign w:val="center"/>
          </w:tcPr>
          <w:p w14:paraId="7CC72B01" w14:textId="0B49287D" w:rsidR="00824C3C" w:rsidRPr="0079597C" w:rsidRDefault="005313FC" w:rsidP="00B17A6F">
            <w:pPr>
              <w:spacing w:before="120" w:after="120"/>
              <w:ind w:left="113" w:right="113"/>
              <w:contextualSpacing/>
              <w:jc w:val="center"/>
              <w:rPr>
                <w:rFonts w:ascii="Arial" w:hAnsi="Arial" w:cs="Arial"/>
                <w:b/>
                <w:bCs/>
                <w:sz w:val="20"/>
                <w:szCs w:val="20"/>
              </w:rPr>
            </w:pPr>
            <w:r w:rsidRPr="5E142495">
              <w:rPr>
                <w:rFonts w:ascii="Arial" w:hAnsi="Arial" w:cs="Arial"/>
                <w:b/>
                <w:bCs/>
                <w:i/>
                <w:iCs/>
                <w:sz w:val="20"/>
                <w:szCs w:val="20"/>
              </w:rPr>
              <w:t xml:space="preserve"> </w:t>
            </w:r>
            <w:r w:rsidR="00824C3C" w:rsidRPr="5E142495">
              <w:rPr>
                <w:rFonts w:ascii="Arial" w:hAnsi="Arial" w:cs="Arial"/>
                <w:b/>
                <w:bCs/>
                <w:i/>
                <w:iCs/>
                <w:sz w:val="20"/>
                <w:szCs w:val="20"/>
              </w:rPr>
              <w:t>Telecommunications Act 1997</w:t>
            </w:r>
            <w:r w:rsidR="00B17A6F">
              <w:rPr>
                <w:rFonts w:ascii="Arial" w:hAnsi="Arial" w:cs="Arial"/>
                <w:b/>
                <w:bCs/>
                <w:sz w:val="20"/>
                <w:szCs w:val="20"/>
              </w:rPr>
              <w:t xml:space="preserve"> </w:t>
            </w:r>
          </w:p>
        </w:tc>
        <w:tc>
          <w:tcPr>
            <w:tcW w:w="3112" w:type="dxa"/>
            <w:shd w:val="clear" w:color="auto" w:fill="FFFFFF" w:themeFill="background1"/>
          </w:tcPr>
          <w:p w14:paraId="1CF343BF" w14:textId="55AC3248" w:rsidR="00824C3C" w:rsidRPr="00C1798F" w:rsidRDefault="00824C3C" w:rsidP="5E142495">
            <w:pPr>
              <w:pStyle w:val="NormalWeb"/>
              <w:shd w:val="clear" w:color="auto" w:fill="FFFFFF" w:themeFill="background1"/>
              <w:spacing w:before="120" w:beforeAutospacing="0" w:after="120" w:afterAutospacing="0"/>
              <w:contextualSpacing/>
              <w:rPr>
                <w:rFonts w:ascii="Arial" w:hAnsi="Arial" w:cs="Arial"/>
                <w:sz w:val="20"/>
                <w:szCs w:val="20"/>
              </w:rPr>
            </w:pPr>
            <w:r w:rsidRPr="5E142495">
              <w:rPr>
                <w:rFonts w:ascii="Arial" w:hAnsi="Arial" w:cs="Arial"/>
                <w:sz w:val="20"/>
                <w:szCs w:val="20"/>
              </w:rPr>
              <w:t xml:space="preserve">The </w:t>
            </w:r>
            <w:r w:rsidRPr="5E142495">
              <w:rPr>
                <w:rFonts w:ascii="Arial" w:hAnsi="Arial" w:cs="Arial"/>
                <w:i/>
                <w:iCs/>
                <w:sz w:val="20"/>
                <w:szCs w:val="20"/>
              </w:rPr>
              <w:t>Telecommunications Act 1997</w:t>
            </w:r>
            <w:r w:rsidRPr="5E142495">
              <w:rPr>
                <w:rFonts w:ascii="Arial" w:hAnsi="Arial" w:cs="Arial"/>
                <w:sz w:val="20"/>
                <w:szCs w:val="20"/>
              </w:rPr>
              <w:t xml:space="preserve"> (Tel Act) establishes a regulatory framework for carriers and carriage service providers. Carriage services are defined as services for carrying communications by means of guided and/or unguided electromagnetic energy. </w:t>
            </w:r>
          </w:p>
          <w:p w14:paraId="0F5D77BC" w14:textId="7916B796" w:rsidR="00824C3C" w:rsidRPr="00C1798F" w:rsidRDefault="00824C3C" w:rsidP="70D35337">
            <w:pPr>
              <w:pStyle w:val="NormalWeb"/>
              <w:shd w:val="clear" w:color="auto" w:fill="FFFFFF" w:themeFill="background1"/>
              <w:spacing w:before="120" w:beforeAutospacing="0" w:after="120" w:afterAutospacing="0"/>
              <w:contextualSpacing/>
              <w:rPr>
                <w:rFonts w:ascii="Arial" w:hAnsi="Arial" w:cs="Arial"/>
                <w:sz w:val="20"/>
                <w:szCs w:val="20"/>
              </w:rPr>
            </w:pPr>
            <w:r w:rsidRPr="70D35337">
              <w:rPr>
                <w:rFonts w:ascii="Arial" w:hAnsi="Arial" w:cs="Arial"/>
                <w:sz w:val="20"/>
                <w:szCs w:val="20"/>
              </w:rPr>
              <w:t xml:space="preserve">The Act imposes obligations for: </w:t>
            </w:r>
          </w:p>
          <w:p w14:paraId="6F949792" w14:textId="4E4FA71E" w:rsidR="00824C3C" w:rsidRPr="00C1798F" w:rsidRDefault="00824C3C" w:rsidP="0079597C">
            <w:pPr>
              <w:pStyle w:val="NormalWeb"/>
              <w:numPr>
                <w:ilvl w:val="0"/>
                <w:numId w:val="23"/>
              </w:numPr>
              <w:shd w:val="clear" w:color="auto" w:fill="FFFFFF"/>
              <w:spacing w:before="120" w:beforeAutospacing="0" w:after="120" w:afterAutospacing="0"/>
              <w:contextualSpacing/>
              <w:rPr>
                <w:rFonts w:ascii="Arial" w:hAnsi="Arial" w:cs="Arial"/>
                <w:sz w:val="20"/>
                <w:szCs w:val="20"/>
              </w:rPr>
            </w:pPr>
            <w:r w:rsidRPr="00C1798F">
              <w:rPr>
                <w:rFonts w:ascii="Arial" w:hAnsi="Arial" w:cs="Arial"/>
                <w:sz w:val="20"/>
                <w:szCs w:val="20"/>
              </w:rPr>
              <w:t>protecting the privacy of communications</w:t>
            </w:r>
            <w:r w:rsidR="00242D66">
              <w:rPr>
                <w:rFonts w:ascii="Arial" w:hAnsi="Arial" w:cs="Arial"/>
                <w:sz w:val="20"/>
                <w:szCs w:val="20"/>
              </w:rPr>
              <w:t>;</w:t>
            </w:r>
          </w:p>
          <w:p w14:paraId="281FFE8B" w14:textId="3AFC5B40" w:rsidR="00824C3C" w:rsidRPr="00C1798F" w:rsidRDefault="00824C3C" w:rsidP="0079597C">
            <w:pPr>
              <w:pStyle w:val="NormalWeb"/>
              <w:numPr>
                <w:ilvl w:val="0"/>
                <w:numId w:val="23"/>
              </w:numPr>
              <w:shd w:val="clear" w:color="auto" w:fill="FFFFFF"/>
              <w:spacing w:before="120" w:beforeAutospacing="0" w:after="120" w:afterAutospacing="0"/>
              <w:contextualSpacing/>
              <w:rPr>
                <w:rFonts w:ascii="Arial" w:hAnsi="Arial" w:cs="Arial"/>
                <w:sz w:val="20"/>
                <w:szCs w:val="20"/>
              </w:rPr>
            </w:pPr>
            <w:r w:rsidRPr="00C1798F">
              <w:rPr>
                <w:rFonts w:ascii="Arial" w:hAnsi="Arial" w:cs="Arial"/>
                <w:sz w:val="20"/>
                <w:szCs w:val="20"/>
              </w:rPr>
              <w:t>preventing telecommunications networks to be used to commit offences; and</w:t>
            </w:r>
          </w:p>
          <w:p w14:paraId="1951C3F5" w14:textId="279EE640" w:rsidR="00824C3C" w:rsidRPr="00C1798F" w:rsidRDefault="00824C3C" w:rsidP="0079597C">
            <w:pPr>
              <w:pStyle w:val="NormalWeb"/>
              <w:numPr>
                <w:ilvl w:val="0"/>
                <w:numId w:val="23"/>
              </w:numPr>
              <w:shd w:val="clear" w:color="auto" w:fill="FFFFFF"/>
              <w:spacing w:before="120" w:beforeAutospacing="0" w:after="120" w:afterAutospacing="0"/>
              <w:contextualSpacing/>
              <w:rPr>
                <w:rFonts w:ascii="Arial" w:hAnsi="Arial" w:cs="Arial"/>
                <w:sz w:val="20"/>
                <w:szCs w:val="20"/>
              </w:rPr>
            </w:pPr>
            <w:proofErr w:type="gramStart"/>
            <w:r w:rsidRPr="00C1798F">
              <w:rPr>
                <w:rFonts w:ascii="Arial" w:hAnsi="Arial" w:cs="Arial"/>
                <w:sz w:val="20"/>
                <w:szCs w:val="20"/>
              </w:rPr>
              <w:t>facilitating</w:t>
            </w:r>
            <w:proofErr w:type="gramEnd"/>
            <w:r w:rsidRPr="00C1798F">
              <w:rPr>
                <w:rFonts w:ascii="Arial" w:hAnsi="Arial" w:cs="Arial"/>
                <w:sz w:val="20"/>
                <w:szCs w:val="20"/>
              </w:rPr>
              <w:t xml:space="preserve"> the use of carriage services for defence purposes or the management of natural disasters.</w:t>
            </w:r>
          </w:p>
          <w:p w14:paraId="1DD35637" w14:textId="77777777" w:rsidR="00824C3C" w:rsidRPr="00C1798F" w:rsidRDefault="00824C3C" w:rsidP="0079597C">
            <w:pPr>
              <w:pStyle w:val="NormalWeb"/>
              <w:shd w:val="clear" w:color="auto" w:fill="FFFFFF"/>
              <w:spacing w:before="120" w:beforeAutospacing="0" w:after="120" w:afterAutospacing="0"/>
              <w:ind w:left="340"/>
              <w:contextualSpacing/>
              <w:rPr>
                <w:rFonts w:ascii="Arial" w:hAnsi="Arial" w:cs="Arial"/>
                <w:sz w:val="20"/>
                <w:szCs w:val="20"/>
              </w:rPr>
            </w:pPr>
          </w:p>
          <w:p w14:paraId="2BF13DAA" w14:textId="05B2C820" w:rsidR="00824C3C" w:rsidRPr="00C1798F" w:rsidRDefault="00824C3C" w:rsidP="5E142495">
            <w:pPr>
              <w:pStyle w:val="NormalWeb"/>
              <w:shd w:val="clear" w:color="auto" w:fill="FFFFFF" w:themeFill="background1"/>
              <w:spacing w:before="120" w:after="120"/>
              <w:contextualSpacing/>
              <w:rPr>
                <w:rFonts w:ascii="Arial" w:hAnsi="Arial" w:cs="Arial"/>
                <w:sz w:val="20"/>
                <w:szCs w:val="20"/>
              </w:rPr>
            </w:pPr>
            <w:r w:rsidRPr="5E142495">
              <w:rPr>
                <w:rFonts w:ascii="Arial" w:eastAsiaTheme="minorEastAsia" w:hAnsi="Arial" w:cs="Arial"/>
                <w:sz w:val="20"/>
                <w:szCs w:val="20"/>
                <w:lang w:eastAsia="en-US"/>
              </w:rPr>
              <w:t>Additionally, Part 14 sections 313(1A), 314A &amp; 314B, and sections s315A, 315B and 315C</w:t>
            </w:r>
            <w:r w:rsidRPr="5E142495">
              <w:rPr>
                <w:rFonts w:ascii="Segoe UI" w:eastAsiaTheme="minorEastAsia" w:hAnsi="Segoe UI" w:cs="Segoe UI"/>
                <w:sz w:val="18"/>
                <w:szCs w:val="18"/>
                <w:lang w:eastAsia="en-US"/>
              </w:rPr>
              <w:t xml:space="preserve"> </w:t>
            </w:r>
            <w:r w:rsidRPr="5E142495">
              <w:rPr>
                <w:rFonts w:ascii="Arial" w:hAnsi="Arial" w:cs="Arial"/>
                <w:sz w:val="20"/>
                <w:szCs w:val="20"/>
              </w:rPr>
              <w:t>require telecommunication providers to do their best to protect the security of their networks and facilities, including to stop their use in criminal acts. Under Part 14, the ACMA can investigate and take enforcement action if providers fail to comply with obligations and improperly use information and documents that come into their possession in the course of their business which relate to the contents of a communication:</w:t>
            </w:r>
          </w:p>
          <w:p w14:paraId="1559CAB0" w14:textId="129A1DA7" w:rsidR="00824C3C" w:rsidRPr="00C1798F" w:rsidRDefault="00824C3C" w:rsidP="0079597C">
            <w:pPr>
              <w:pStyle w:val="NormalWeb"/>
              <w:numPr>
                <w:ilvl w:val="0"/>
                <w:numId w:val="24"/>
              </w:numPr>
              <w:shd w:val="clear" w:color="auto" w:fill="FFFFFF"/>
              <w:spacing w:before="120" w:beforeAutospacing="0" w:after="120" w:afterAutospacing="0"/>
              <w:contextualSpacing/>
              <w:rPr>
                <w:rFonts w:ascii="Arial" w:hAnsi="Arial" w:cs="Arial"/>
                <w:sz w:val="20"/>
                <w:szCs w:val="20"/>
              </w:rPr>
            </w:pPr>
            <w:r w:rsidRPr="00C1798F">
              <w:rPr>
                <w:rFonts w:ascii="Arial" w:hAnsi="Arial" w:cs="Arial"/>
                <w:sz w:val="20"/>
                <w:szCs w:val="20"/>
              </w:rPr>
              <w:t>that has been or is being carried</w:t>
            </w:r>
            <w:r w:rsidR="00242D66">
              <w:rPr>
                <w:rFonts w:ascii="Arial" w:hAnsi="Arial" w:cs="Arial"/>
                <w:sz w:val="20"/>
                <w:szCs w:val="20"/>
              </w:rPr>
              <w:t>;</w:t>
            </w:r>
          </w:p>
          <w:p w14:paraId="1764CD2D" w14:textId="40C6EAA6" w:rsidR="00824C3C" w:rsidRPr="00C1798F" w:rsidRDefault="00824C3C" w:rsidP="0079597C">
            <w:pPr>
              <w:pStyle w:val="NormalWeb"/>
              <w:numPr>
                <w:ilvl w:val="0"/>
                <w:numId w:val="24"/>
              </w:numPr>
              <w:shd w:val="clear" w:color="auto" w:fill="FFFFFF"/>
              <w:spacing w:before="120" w:beforeAutospacing="0" w:after="120" w:afterAutospacing="0"/>
              <w:contextualSpacing/>
              <w:rPr>
                <w:rFonts w:ascii="Arial" w:hAnsi="Arial" w:cs="Arial"/>
                <w:sz w:val="20"/>
                <w:szCs w:val="20"/>
              </w:rPr>
            </w:pPr>
            <w:r w:rsidRPr="00C1798F">
              <w:rPr>
                <w:rFonts w:ascii="Arial" w:hAnsi="Arial" w:cs="Arial"/>
                <w:sz w:val="20"/>
                <w:szCs w:val="20"/>
              </w:rPr>
              <w:t>was supplied by the carriage service; or</w:t>
            </w:r>
          </w:p>
          <w:p w14:paraId="6370FF43" w14:textId="7A15D48B" w:rsidR="00824C3C" w:rsidRPr="00C1798F" w:rsidRDefault="00824C3C" w:rsidP="1F2C2F0C">
            <w:pPr>
              <w:pStyle w:val="NormalWeb"/>
              <w:numPr>
                <w:ilvl w:val="0"/>
                <w:numId w:val="24"/>
              </w:numPr>
              <w:shd w:val="clear" w:color="auto" w:fill="FFFFFF" w:themeFill="background1"/>
              <w:spacing w:before="120" w:beforeAutospacing="0" w:after="120" w:afterAutospacing="0"/>
              <w:contextualSpacing/>
              <w:rPr>
                <w:rFonts w:ascii="Arial" w:hAnsi="Arial" w:cs="Arial"/>
                <w:sz w:val="20"/>
                <w:szCs w:val="20"/>
              </w:rPr>
            </w:pPr>
            <w:proofErr w:type="gramStart"/>
            <w:r w:rsidRPr="1F2C2F0C">
              <w:rPr>
                <w:rFonts w:ascii="Arial" w:hAnsi="Arial" w:cs="Arial"/>
                <w:sz w:val="20"/>
                <w:szCs w:val="20"/>
              </w:rPr>
              <w:t>details</w:t>
            </w:r>
            <w:proofErr w:type="gramEnd"/>
            <w:r w:rsidRPr="1F2C2F0C">
              <w:rPr>
                <w:rFonts w:ascii="Arial" w:hAnsi="Arial" w:cs="Arial"/>
                <w:sz w:val="20"/>
                <w:szCs w:val="20"/>
              </w:rPr>
              <w:t xml:space="preserve"> a person’s personal affairs</w:t>
            </w:r>
            <w:r w:rsidR="00242D66">
              <w:rPr>
                <w:rFonts w:ascii="Arial" w:hAnsi="Arial" w:cs="Arial"/>
                <w:sz w:val="20"/>
                <w:szCs w:val="20"/>
              </w:rPr>
              <w:t>.</w:t>
            </w:r>
          </w:p>
          <w:p w14:paraId="7FC9CF27" w14:textId="51C5E4F7" w:rsidR="00824C3C" w:rsidRPr="00C1798F" w:rsidRDefault="00824C3C" w:rsidP="00B17A6F">
            <w:pPr>
              <w:pStyle w:val="NormalWeb"/>
              <w:shd w:val="clear" w:color="auto" w:fill="FFFFFF" w:themeFill="background1"/>
              <w:spacing w:before="120" w:beforeAutospacing="0" w:after="120" w:afterAutospacing="0"/>
              <w:contextualSpacing/>
              <w:rPr>
                <w:rFonts w:ascii="Arial" w:hAnsi="Arial" w:cs="Arial"/>
                <w:sz w:val="20"/>
                <w:szCs w:val="20"/>
              </w:rPr>
            </w:pPr>
            <w:r w:rsidRPr="745E7E85">
              <w:rPr>
                <w:rFonts w:ascii="Arial" w:hAnsi="Arial" w:cs="Arial"/>
                <w:sz w:val="20"/>
                <w:szCs w:val="20"/>
              </w:rPr>
              <w:t xml:space="preserve">Sections 313(1A), 314A and 314B, and section 315A under the </w:t>
            </w:r>
            <w:r w:rsidR="00B17A6F">
              <w:rPr>
                <w:rFonts w:ascii="Arial" w:hAnsi="Arial" w:cs="Arial"/>
                <w:sz w:val="20"/>
                <w:szCs w:val="20"/>
              </w:rPr>
              <w:t xml:space="preserve">Tel Act </w:t>
            </w:r>
            <w:r w:rsidRPr="745E7E85">
              <w:rPr>
                <w:rFonts w:ascii="Arial" w:hAnsi="Arial" w:cs="Arial"/>
                <w:sz w:val="20"/>
                <w:szCs w:val="20"/>
              </w:rPr>
              <w:t>will be integrated into the SOCI Act through these reforms.</w:t>
            </w:r>
          </w:p>
        </w:tc>
        <w:tc>
          <w:tcPr>
            <w:tcW w:w="4638" w:type="dxa"/>
            <w:shd w:val="clear" w:color="auto" w:fill="FFFFFF" w:themeFill="background1"/>
            <w:vAlign w:val="center"/>
          </w:tcPr>
          <w:p w14:paraId="6F9C5D3E" w14:textId="539046FF" w:rsidR="00824C3C" w:rsidRDefault="00824C3C" w:rsidP="0079597C">
            <w:pPr>
              <w:spacing w:before="120" w:after="120"/>
              <w:contextualSpacing/>
              <w:rPr>
                <w:rFonts w:ascii="Arial" w:hAnsi="Arial" w:cs="Arial"/>
                <w:sz w:val="20"/>
                <w:szCs w:val="20"/>
              </w:rPr>
            </w:pPr>
            <w:r w:rsidRPr="70D35337">
              <w:rPr>
                <w:rFonts w:ascii="Arial" w:hAnsi="Arial" w:cs="Arial"/>
                <w:sz w:val="20"/>
                <w:szCs w:val="20"/>
              </w:rPr>
              <w:t xml:space="preserve">The Tel Act imposes a diverse range of responsibilities on carriers and carriage service providers, particularly in relation to privacy and in states of emergency. However, the Act does not include any specific requirement to develop and implement risk management programs. </w:t>
            </w:r>
          </w:p>
          <w:p w14:paraId="329B0722" w14:textId="77777777" w:rsidR="00824C3C" w:rsidRDefault="00824C3C" w:rsidP="0079597C">
            <w:pPr>
              <w:spacing w:before="120" w:after="120"/>
              <w:contextualSpacing/>
              <w:rPr>
                <w:rFonts w:ascii="Arial" w:hAnsi="Arial" w:cs="Arial"/>
                <w:sz w:val="20"/>
                <w:szCs w:val="20"/>
              </w:rPr>
            </w:pPr>
          </w:p>
          <w:p w14:paraId="7C1D0CDE" w14:textId="6DCA8D6B" w:rsidR="00824C3C" w:rsidRPr="00C1798F" w:rsidRDefault="00824C3C" w:rsidP="00B17A6F">
            <w:pPr>
              <w:spacing w:before="120" w:after="120"/>
              <w:contextualSpacing/>
              <w:rPr>
                <w:rFonts w:ascii="Arial" w:hAnsi="Arial" w:cs="Arial"/>
                <w:sz w:val="20"/>
                <w:szCs w:val="20"/>
              </w:rPr>
            </w:pPr>
            <w:r w:rsidRPr="5E142495">
              <w:rPr>
                <w:rFonts w:ascii="Arial" w:hAnsi="Arial" w:cs="Arial"/>
                <w:sz w:val="20"/>
                <w:szCs w:val="20"/>
              </w:rPr>
              <w:t>While interim reporting obligations ha</w:t>
            </w:r>
            <w:r w:rsidR="00B17A6F">
              <w:rPr>
                <w:rFonts w:ascii="Arial" w:hAnsi="Arial" w:cs="Arial"/>
                <w:sz w:val="20"/>
                <w:szCs w:val="20"/>
              </w:rPr>
              <w:t>ve been switched on under Tel</w:t>
            </w:r>
            <w:r w:rsidRPr="5E142495">
              <w:rPr>
                <w:rFonts w:ascii="Arial" w:hAnsi="Arial" w:cs="Arial"/>
                <w:sz w:val="20"/>
                <w:szCs w:val="20"/>
              </w:rPr>
              <w:t xml:space="preserve"> Act, there are generally no reporting obligations on captured entities. The Act instead mandates that providers submit information to the Register of Critical Assets or comply with Mandatory Cyber Incident reporting. </w:t>
            </w:r>
          </w:p>
        </w:tc>
      </w:tr>
      <w:tr w:rsidR="00824C3C" w:rsidRPr="00C1798F" w14:paraId="52E924D6" w14:textId="7C29AB4C" w:rsidTr="00030761">
        <w:trPr>
          <w:cantSplit/>
          <w:trHeight w:val="1361"/>
        </w:trPr>
        <w:tc>
          <w:tcPr>
            <w:tcW w:w="1276" w:type="dxa"/>
            <w:shd w:val="clear" w:color="auto" w:fill="E7E6E6" w:themeFill="background2"/>
            <w:textDirection w:val="btLr"/>
            <w:vAlign w:val="center"/>
          </w:tcPr>
          <w:p w14:paraId="24F1C3FE" w14:textId="58EB852C" w:rsidR="00824C3C" w:rsidRPr="0079597C" w:rsidRDefault="00824C3C" w:rsidP="00B17A6F">
            <w:pPr>
              <w:spacing w:before="120" w:after="120"/>
              <w:ind w:left="113" w:right="113"/>
              <w:contextualSpacing/>
              <w:jc w:val="center"/>
              <w:rPr>
                <w:rFonts w:ascii="Arial" w:hAnsi="Arial" w:cs="Arial"/>
                <w:b/>
                <w:bCs/>
                <w:sz w:val="20"/>
                <w:szCs w:val="20"/>
              </w:rPr>
            </w:pPr>
            <w:r w:rsidRPr="5E142495">
              <w:rPr>
                <w:rFonts w:ascii="Arial" w:hAnsi="Arial" w:cs="Arial"/>
                <w:b/>
                <w:bCs/>
                <w:i/>
                <w:iCs/>
                <w:sz w:val="20"/>
                <w:szCs w:val="20"/>
              </w:rPr>
              <w:t>Privacy Act 1988</w:t>
            </w:r>
            <w:r w:rsidRPr="5E142495">
              <w:rPr>
                <w:rFonts w:ascii="Arial" w:hAnsi="Arial" w:cs="Arial"/>
                <w:b/>
                <w:bCs/>
                <w:sz w:val="20"/>
                <w:szCs w:val="20"/>
              </w:rPr>
              <w:t xml:space="preserve"> </w:t>
            </w:r>
          </w:p>
        </w:tc>
        <w:tc>
          <w:tcPr>
            <w:tcW w:w="3112" w:type="dxa"/>
            <w:shd w:val="clear" w:color="auto" w:fill="FFFFFF" w:themeFill="background1"/>
            <w:vAlign w:val="center"/>
          </w:tcPr>
          <w:p w14:paraId="69F8AD1B" w14:textId="1EBB737E" w:rsidR="00824C3C" w:rsidRPr="00C1798F" w:rsidRDefault="00824C3C" w:rsidP="5E142495">
            <w:pPr>
              <w:spacing w:before="120" w:after="120"/>
              <w:contextualSpacing/>
              <w:rPr>
                <w:rFonts w:ascii="Arial" w:hAnsi="Arial" w:cs="Arial"/>
                <w:sz w:val="20"/>
                <w:szCs w:val="20"/>
              </w:rPr>
            </w:pPr>
            <w:r w:rsidRPr="5E142495">
              <w:rPr>
                <w:rFonts w:ascii="Arial" w:hAnsi="Arial" w:cs="Arial"/>
                <w:sz w:val="20"/>
                <w:szCs w:val="20"/>
              </w:rPr>
              <w:t xml:space="preserve">The </w:t>
            </w:r>
            <w:r w:rsidRPr="5E142495">
              <w:rPr>
                <w:rFonts w:ascii="Arial" w:hAnsi="Arial" w:cs="Arial"/>
                <w:i/>
                <w:iCs/>
                <w:sz w:val="20"/>
                <w:szCs w:val="20"/>
              </w:rPr>
              <w:t>Privacy Act 1988</w:t>
            </w:r>
            <w:r w:rsidRPr="5E142495">
              <w:rPr>
                <w:rFonts w:ascii="Arial" w:hAnsi="Arial" w:cs="Arial"/>
                <w:sz w:val="20"/>
                <w:szCs w:val="20"/>
              </w:rPr>
              <w:t xml:space="preserve"> (Privacy Act) dictates how personal information in the federal public sector and in the private sector can be collected, used, stored, and disclosed.</w:t>
            </w:r>
          </w:p>
        </w:tc>
        <w:tc>
          <w:tcPr>
            <w:tcW w:w="4638" w:type="dxa"/>
            <w:shd w:val="clear" w:color="auto" w:fill="FFFFFF" w:themeFill="background1"/>
            <w:vAlign w:val="center"/>
          </w:tcPr>
          <w:p w14:paraId="0415C9BE" w14:textId="1AD3CFC4" w:rsidR="00824C3C" w:rsidRPr="00C1798F" w:rsidRDefault="00824C3C" w:rsidP="0079597C">
            <w:pPr>
              <w:spacing w:before="120" w:after="120"/>
              <w:rPr>
                <w:rFonts w:ascii="Arial" w:hAnsi="Arial" w:cs="Arial"/>
                <w:sz w:val="20"/>
                <w:szCs w:val="20"/>
              </w:rPr>
            </w:pPr>
            <w:r w:rsidRPr="0EB3C4FE">
              <w:rPr>
                <w:rFonts w:ascii="Arial" w:hAnsi="Arial" w:cs="Arial"/>
                <w:sz w:val="20"/>
                <w:szCs w:val="20"/>
              </w:rPr>
              <w:t>The Privacy Act is the primary lever for the protection of personal information, given its unique ability to regulate the large-scale collection and distribution of data. Whil</w:t>
            </w:r>
            <w:r>
              <w:rPr>
                <w:rFonts w:ascii="Arial" w:hAnsi="Arial" w:cs="Arial"/>
                <w:sz w:val="20"/>
                <w:szCs w:val="20"/>
              </w:rPr>
              <w:t>e it</w:t>
            </w:r>
            <w:r w:rsidRPr="0EB3C4FE">
              <w:rPr>
                <w:rFonts w:ascii="Arial" w:hAnsi="Arial" w:cs="Arial"/>
                <w:sz w:val="20"/>
                <w:szCs w:val="20"/>
              </w:rPr>
              <w:t xml:space="preserve"> provid</w:t>
            </w:r>
            <w:r>
              <w:rPr>
                <w:rFonts w:ascii="Arial" w:hAnsi="Arial" w:cs="Arial"/>
                <w:sz w:val="20"/>
                <w:szCs w:val="20"/>
              </w:rPr>
              <w:t>es</w:t>
            </w:r>
            <w:r w:rsidRPr="0EB3C4FE">
              <w:rPr>
                <w:rFonts w:ascii="Arial" w:hAnsi="Arial" w:cs="Arial"/>
                <w:sz w:val="20"/>
                <w:szCs w:val="20"/>
              </w:rPr>
              <w:t xml:space="preserve"> avenues for individuals to complain about alleged interferences with their privacy by service providers, it does not impose positive obligations on telecommunications providers to create and implement risk management protocols. </w:t>
            </w:r>
          </w:p>
        </w:tc>
      </w:tr>
      <w:tr w:rsidR="00824C3C" w:rsidRPr="00C1798F" w14:paraId="2AFFE4E1" w14:textId="52F872BE" w:rsidTr="00030761">
        <w:trPr>
          <w:cantSplit/>
          <w:trHeight w:val="1361"/>
        </w:trPr>
        <w:tc>
          <w:tcPr>
            <w:tcW w:w="1276" w:type="dxa"/>
            <w:shd w:val="clear" w:color="auto" w:fill="E7E6E6" w:themeFill="background2"/>
            <w:textDirection w:val="btLr"/>
            <w:vAlign w:val="center"/>
          </w:tcPr>
          <w:p w14:paraId="5D4E8B63" w14:textId="1D8C8E6A" w:rsidR="00824C3C" w:rsidRPr="0079597C" w:rsidRDefault="00824C3C" w:rsidP="00B17A6F">
            <w:pPr>
              <w:spacing w:before="120" w:after="120"/>
              <w:ind w:left="113" w:right="113"/>
              <w:contextualSpacing/>
              <w:jc w:val="center"/>
              <w:rPr>
                <w:rFonts w:ascii="Arial" w:hAnsi="Arial" w:cs="Arial"/>
                <w:b/>
                <w:bCs/>
                <w:sz w:val="20"/>
                <w:szCs w:val="20"/>
              </w:rPr>
            </w:pPr>
            <w:r w:rsidRPr="5E142495">
              <w:rPr>
                <w:rFonts w:ascii="Arial" w:hAnsi="Arial" w:cs="Arial"/>
                <w:b/>
                <w:bCs/>
                <w:i/>
                <w:iCs/>
                <w:sz w:val="20"/>
                <w:szCs w:val="20"/>
              </w:rPr>
              <w:t>Radiocommunications Act 1992</w:t>
            </w:r>
            <w:r w:rsidRPr="5E142495">
              <w:rPr>
                <w:rFonts w:ascii="Arial" w:hAnsi="Arial" w:cs="Arial"/>
                <w:b/>
                <w:bCs/>
                <w:sz w:val="20"/>
                <w:szCs w:val="20"/>
              </w:rPr>
              <w:t xml:space="preserve"> </w:t>
            </w:r>
          </w:p>
        </w:tc>
        <w:tc>
          <w:tcPr>
            <w:tcW w:w="3112" w:type="dxa"/>
            <w:shd w:val="clear" w:color="auto" w:fill="FFFFFF" w:themeFill="background1"/>
            <w:vAlign w:val="center"/>
          </w:tcPr>
          <w:p w14:paraId="48F722CF" w14:textId="62123B1F" w:rsidR="00824C3C" w:rsidRPr="00C1798F" w:rsidRDefault="00824C3C" w:rsidP="0079597C">
            <w:pPr>
              <w:spacing w:before="120" w:after="120"/>
              <w:contextualSpacing/>
              <w:rPr>
                <w:rFonts w:ascii="Arial" w:hAnsi="Arial" w:cs="Arial"/>
                <w:sz w:val="20"/>
                <w:szCs w:val="20"/>
              </w:rPr>
            </w:pPr>
            <w:r w:rsidRPr="5F4A6261">
              <w:rPr>
                <w:rFonts w:ascii="Arial" w:hAnsi="Arial" w:cs="Arial"/>
                <w:sz w:val="20"/>
                <w:szCs w:val="20"/>
              </w:rPr>
              <w:t xml:space="preserve">The </w:t>
            </w:r>
            <w:r w:rsidRPr="5F4A6261">
              <w:rPr>
                <w:rFonts w:ascii="Arial" w:hAnsi="Arial" w:cs="Arial"/>
                <w:i/>
                <w:iCs/>
                <w:sz w:val="20"/>
                <w:szCs w:val="20"/>
              </w:rPr>
              <w:t>Radiocommunications Act 1992</w:t>
            </w:r>
            <w:r w:rsidRPr="5F4A6261">
              <w:rPr>
                <w:rFonts w:ascii="Arial" w:hAnsi="Arial" w:cs="Arial"/>
                <w:sz w:val="20"/>
                <w:szCs w:val="20"/>
              </w:rPr>
              <w:t xml:space="preserve"> regulates the planning, allocation, and use of radiocommunications. The Act provides for:</w:t>
            </w:r>
          </w:p>
          <w:p w14:paraId="113F297B" w14:textId="7FB8871B" w:rsidR="00824C3C" w:rsidRPr="00C1798F" w:rsidRDefault="00824C3C" w:rsidP="0079597C">
            <w:pPr>
              <w:pStyle w:val="ListParagraph"/>
              <w:numPr>
                <w:ilvl w:val="0"/>
                <w:numId w:val="19"/>
              </w:numPr>
              <w:spacing w:before="120" w:after="120"/>
              <w:rPr>
                <w:rFonts w:ascii="Arial" w:hAnsi="Arial" w:cs="Arial"/>
                <w:sz w:val="20"/>
                <w:szCs w:val="20"/>
              </w:rPr>
            </w:pPr>
            <w:r w:rsidRPr="00C1798F">
              <w:rPr>
                <w:rFonts w:ascii="Arial" w:hAnsi="Arial" w:cs="Arial"/>
                <w:sz w:val="20"/>
                <w:szCs w:val="20"/>
              </w:rPr>
              <w:t>radio frequency planning</w:t>
            </w:r>
            <w:r w:rsidR="00242D66">
              <w:rPr>
                <w:rFonts w:ascii="Arial" w:hAnsi="Arial" w:cs="Arial"/>
                <w:sz w:val="20"/>
                <w:szCs w:val="20"/>
              </w:rPr>
              <w:t>;</w:t>
            </w:r>
          </w:p>
          <w:p w14:paraId="6D0B00A3" w14:textId="27C14852" w:rsidR="00824C3C" w:rsidRPr="00C1798F" w:rsidRDefault="00824C3C" w:rsidP="0079597C">
            <w:pPr>
              <w:pStyle w:val="ListParagraph"/>
              <w:numPr>
                <w:ilvl w:val="0"/>
                <w:numId w:val="19"/>
              </w:numPr>
              <w:spacing w:before="120" w:after="120"/>
              <w:rPr>
                <w:rFonts w:ascii="Arial" w:hAnsi="Arial" w:cs="Arial"/>
                <w:sz w:val="20"/>
                <w:szCs w:val="20"/>
              </w:rPr>
            </w:pPr>
            <w:r w:rsidRPr="00C1798F">
              <w:rPr>
                <w:rFonts w:ascii="Arial" w:hAnsi="Arial" w:cs="Arial"/>
                <w:sz w:val="20"/>
                <w:szCs w:val="20"/>
              </w:rPr>
              <w:t>licencing and registration of radiocommunications</w:t>
            </w:r>
            <w:r w:rsidR="00242D66">
              <w:rPr>
                <w:rFonts w:ascii="Arial" w:hAnsi="Arial" w:cs="Arial"/>
                <w:sz w:val="20"/>
                <w:szCs w:val="20"/>
              </w:rPr>
              <w:t>;</w:t>
            </w:r>
          </w:p>
          <w:p w14:paraId="2934D456" w14:textId="77777777" w:rsidR="00824C3C" w:rsidRPr="00C1798F" w:rsidRDefault="00824C3C" w:rsidP="0079597C">
            <w:pPr>
              <w:pStyle w:val="ListParagraph"/>
              <w:numPr>
                <w:ilvl w:val="0"/>
                <w:numId w:val="19"/>
              </w:numPr>
              <w:spacing w:before="120" w:after="120"/>
              <w:rPr>
                <w:rFonts w:ascii="Arial" w:hAnsi="Arial" w:cs="Arial"/>
                <w:sz w:val="20"/>
                <w:szCs w:val="20"/>
              </w:rPr>
            </w:pPr>
            <w:r w:rsidRPr="00C1798F">
              <w:rPr>
                <w:rFonts w:ascii="Arial" w:hAnsi="Arial" w:cs="Arial"/>
                <w:sz w:val="20"/>
                <w:szCs w:val="20"/>
              </w:rPr>
              <w:t>re-allocation of parts of the spectrum; and</w:t>
            </w:r>
          </w:p>
          <w:p w14:paraId="29464330" w14:textId="18C5FCBF" w:rsidR="00824C3C" w:rsidRPr="00C1798F" w:rsidRDefault="00824C3C" w:rsidP="0079597C">
            <w:pPr>
              <w:pStyle w:val="ListParagraph"/>
              <w:numPr>
                <w:ilvl w:val="0"/>
                <w:numId w:val="19"/>
              </w:numPr>
              <w:spacing w:before="120" w:after="120"/>
              <w:rPr>
                <w:rFonts w:ascii="Arial" w:hAnsi="Arial" w:cs="Arial"/>
                <w:sz w:val="20"/>
                <w:szCs w:val="20"/>
              </w:rPr>
            </w:pPr>
            <w:proofErr w:type="gramStart"/>
            <w:r w:rsidRPr="70D35337">
              <w:rPr>
                <w:rFonts w:ascii="Arial" w:hAnsi="Arial" w:cs="Arial"/>
                <w:sz w:val="20"/>
                <w:szCs w:val="20"/>
              </w:rPr>
              <w:t>general</w:t>
            </w:r>
            <w:proofErr w:type="gramEnd"/>
            <w:r w:rsidRPr="70D35337">
              <w:rPr>
                <w:rFonts w:ascii="Arial" w:hAnsi="Arial" w:cs="Arial"/>
                <w:sz w:val="20"/>
                <w:szCs w:val="20"/>
              </w:rPr>
              <w:t xml:space="preserve"> regulatory requirements extending to equipment rules, interference with radiocommunications and dispute management.</w:t>
            </w:r>
          </w:p>
        </w:tc>
        <w:tc>
          <w:tcPr>
            <w:tcW w:w="4638" w:type="dxa"/>
            <w:shd w:val="clear" w:color="auto" w:fill="FFFFFF" w:themeFill="background1"/>
            <w:vAlign w:val="center"/>
          </w:tcPr>
          <w:p w14:paraId="078C4356" w14:textId="1C52A50A" w:rsidR="00824C3C" w:rsidRPr="00C1798F" w:rsidRDefault="00824C3C" w:rsidP="5E142495">
            <w:pPr>
              <w:spacing w:before="120" w:after="120"/>
              <w:rPr>
                <w:rFonts w:ascii="Arial" w:hAnsi="Arial" w:cs="Arial"/>
                <w:sz w:val="20"/>
                <w:szCs w:val="20"/>
              </w:rPr>
            </w:pPr>
            <w:r w:rsidRPr="5E142495">
              <w:rPr>
                <w:rFonts w:ascii="Arial" w:hAnsi="Arial" w:cs="Arial"/>
                <w:sz w:val="20"/>
                <w:szCs w:val="20"/>
              </w:rPr>
              <w:t xml:space="preserve">Complaints can be made to the Australian Communications and Media Authority (ACMA) where there is an interference or risk of interference or disruption to radiocommunications. While ACMA has a range of powers to respond to risks, there is no requirement to create a risk management program or reporting requirement. Similarly, licence holders have a compliance reporting obligation to the ACCC, but this does not extend to risk management protocols.  </w:t>
            </w:r>
          </w:p>
        </w:tc>
      </w:tr>
      <w:tr w:rsidR="00824C3C" w:rsidRPr="00C1798F" w14:paraId="73ABF41C" w14:textId="521024EE" w:rsidTr="00030761">
        <w:trPr>
          <w:cantSplit/>
          <w:trHeight w:val="1361"/>
        </w:trPr>
        <w:tc>
          <w:tcPr>
            <w:tcW w:w="1276" w:type="dxa"/>
            <w:shd w:val="clear" w:color="auto" w:fill="E7E6E6" w:themeFill="background2"/>
            <w:textDirection w:val="btLr"/>
            <w:vAlign w:val="center"/>
          </w:tcPr>
          <w:p w14:paraId="4581913C" w14:textId="604B1C67" w:rsidR="00824C3C" w:rsidRPr="0079597C" w:rsidRDefault="00824C3C" w:rsidP="00B17A6F">
            <w:pPr>
              <w:spacing w:before="120" w:after="120"/>
              <w:ind w:left="113" w:right="113"/>
              <w:contextualSpacing/>
              <w:jc w:val="center"/>
              <w:rPr>
                <w:rFonts w:ascii="Arial" w:hAnsi="Arial" w:cs="Arial"/>
                <w:b/>
                <w:bCs/>
                <w:sz w:val="20"/>
                <w:szCs w:val="20"/>
              </w:rPr>
            </w:pPr>
            <w:r w:rsidRPr="5E142495">
              <w:rPr>
                <w:rFonts w:ascii="Arial" w:hAnsi="Arial" w:cs="Arial"/>
                <w:b/>
                <w:bCs/>
                <w:i/>
                <w:iCs/>
                <w:sz w:val="20"/>
                <w:szCs w:val="20"/>
              </w:rPr>
              <w:t>Telecommunications (Interception and Access) Act 1979</w:t>
            </w:r>
            <w:r w:rsidRPr="5E142495">
              <w:rPr>
                <w:rFonts w:ascii="Arial" w:hAnsi="Arial" w:cs="Arial"/>
                <w:b/>
                <w:bCs/>
                <w:sz w:val="20"/>
                <w:szCs w:val="20"/>
              </w:rPr>
              <w:t xml:space="preserve"> </w:t>
            </w:r>
          </w:p>
        </w:tc>
        <w:tc>
          <w:tcPr>
            <w:tcW w:w="3112" w:type="dxa"/>
            <w:shd w:val="clear" w:color="auto" w:fill="FFFFFF" w:themeFill="background1"/>
            <w:vAlign w:val="center"/>
          </w:tcPr>
          <w:p w14:paraId="16AD7820" w14:textId="707308EC" w:rsidR="00824C3C" w:rsidRPr="00C1798F" w:rsidRDefault="00824C3C" w:rsidP="0079597C">
            <w:pPr>
              <w:spacing w:before="120" w:after="120"/>
              <w:contextualSpacing/>
              <w:rPr>
                <w:rFonts w:ascii="Arial" w:hAnsi="Arial" w:cs="Arial"/>
                <w:sz w:val="20"/>
                <w:szCs w:val="20"/>
              </w:rPr>
            </w:pPr>
            <w:r w:rsidRPr="3961DAA9">
              <w:rPr>
                <w:rFonts w:ascii="Arial" w:hAnsi="Arial" w:cs="Arial"/>
                <w:sz w:val="20"/>
                <w:szCs w:val="20"/>
              </w:rPr>
              <w:t xml:space="preserve">The </w:t>
            </w:r>
            <w:r w:rsidRPr="3961DAA9">
              <w:rPr>
                <w:rFonts w:ascii="Arial" w:hAnsi="Arial" w:cs="Arial"/>
                <w:i/>
                <w:iCs/>
                <w:sz w:val="20"/>
                <w:szCs w:val="20"/>
              </w:rPr>
              <w:t>Telecommunications (Interception and Access) Act 1979</w:t>
            </w:r>
            <w:r w:rsidRPr="3961DAA9">
              <w:rPr>
                <w:rFonts w:ascii="Arial" w:hAnsi="Arial" w:cs="Arial"/>
                <w:sz w:val="20"/>
                <w:szCs w:val="20"/>
              </w:rPr>
              <w:t xml:space="preserve"> (TIA Act) makes it </w:t>
            </w:r>
            <w:proofErr w:type="gramStart"/>
            <w:r w:rsidRPr="3961DAA9">
              <w:rPr>
                <w:rFonts w:ascii="Arial" w:hAnsi="Arial" w:cs="Arial"/>
                <w:sz w:val="20"/>
                <w:szCs w:val="20"/>
              </w:rPr>
              <w:t>an</w:t>
            </w:r>
            <w:proofErr w:type="gramEnd"/>
            <w:r w:rsidRPr="3961DAA9">
              <w:rPr>
                <w:rFonts w:ascii="Arial" w:hAnsi="Arial" w:cs="Arial"/>
                <w:sz w:val="20"/>
                <w:szCs w:val="20"/>
              </w:rPr>
              <w:t xml:space="preserve"> offence to intercept or access private telecommunications without the knowledge of those involved in that communication, except for law enforcement or national security purposes. </w:t>
            </w:r>
          </w:p>
        </w:tc>
        <w:tc>
          <w:tcPr>
            <w:tcW w:w="4638" w:type="dxa"/>
            <w:shd w:val="clear" w:color="auto" w:fill="FFFFFF" w:themeFill="background1"/>
            <w:vAlign w:val="center"/>
          </w:tcPr>
          <w:p w14:paraId="17E6287D" w14:textId="19C06224" w:rsidR="00824C3C" w:rsidRPr="00C1798F" w:rsidRDefault="00824C3C" w:rsidP="0079597C">
            <w:pPr>
              <w:spacing w:before="120" w:after="120"/>
              <w:rPr>
                <w:rFonts w:ascii="Arial" w:hAnsi="Arial" w:cs="Arial"/>
                <w:sz w:val="20"/>
                <w:szCs w:val="20"/>
              </w:rPr>
            </w:pPr>
            <w:r w:rsidRPr="00C1798F">
              <w:rPr>
                <w:rFonts w:ascii="Arial" w:hAnsi="Arial" w:cs="Arial"/>
                <w:sz w:val="20"/>
                <w:szCs w:val="20"/>
              </w:rPr>
              <w:t>Whil</w:t>
            </w:r>
            <w:r>
              <w:rPr>
                <w:rFonts w:ascii="Arial" w:hAnsi="Arial" w:cs="Arial"/>
                <w:sz w:val="20"/>
                <w:szCs w:val="20"/>
              </w:rPr>
              <w:t>e</w:t>
            </w:r>
            <w:r w:rsidRPr="00C1798F">
              <w:rPr>
                <w:rFonts w:ascii="Arial" w:hAnsi="Arial" w:cs="Arial"/>
                <w:sz w:val="20"/>
                <w:szCs w:val="20"/>
              </w:rPr>
              <w:t xml:space="preserve"> the TIA Act does impose risk minimisation duties on the Director-General of Security in relation to the issuance of foreign communications warrants, as well as on ACMA in granting exemptions for trial services, there is no specific requirement </w:t>
            </w:r>
            <w:r>
              <w:rPr>
                <w:rFonts w:ascii="Arial" w:hAnsi="Arial" w:cs="Arial"/>
                <w:sz w:val="20"/>
                <w:szCs w:val="20"/>
              </w:rPr>
              <w:t>for</w:t>
            </w:r>
            <w:r w:rsidRPr="00C1798F">
              <w:rPr>
                <w:rFonts w:ascii="Arial" w:hAnsi="Arial" w:cs="Arial"/>
                <w:sz w:val="20"/>
                <w:szCs w:val="20"/>
              </w:rPr>
              <w:t xml:space="preserve"> risk management protocols for telecommunications sector disruptions. </w:t>
            </w:r>
          </w:p>
        </w:tc>
      </w:tr>
      <w:tr w:rsidR="00824C3C" w:rsidRPr="00C1798F" w14:paraId="15BF137F" w14:textId="10243F27" w:rsidTr="00030761">
        <w:trPr>
          <w:cantSplit/>
          <w:trHeight w:val="1361"/>
        </w:trPr>
        <w:tc>
          <w:tcPr>
            <w:tcW w:w="1276" w:type="dxa"/>
            <w:shd w:val="clear" w:color="auto" w:fill="E7E6E6" w:themeFill="background2"/>
            <w:textDirection w:val="btLr"/>
            <w:vAlign w:val="center"/>
          </w:tcPr>
          <w:p w14:paraId="5115FE2D" w14:textId="15465B0A" w:rsidR="00824C3C" w:rsidRPr="0079597C" w:rsidRDefault="00824C3C" w:rsidP="00B17A6F">
            <w:pPr>
              <w:spacing w:before="120" w:after="120"/>
              <w:ind w:left="113" w:right="113"/>
              <w:contextualSpacing/>
              <w:jc w:val="center"/>
              <w:rPr>
                <w:rFonts w:ascii="Arial" w:hAnsi="Arial" w:cs="Arial"/>
                <w:b/>
                <w:bCs/>
                <w:sz w:val="20"/>
                <w:szCs w:val="20"/>
              </w:rPr>
            </w:pPr>
            <w:r w:rsidRPr="5E142495">
              <w:rPr>
                <w:rFonts w:ascii="Arial" w:hAnsi="Arial" w:cs="Arial"/>
                <w:b/>
                <w:bCs/>
                <w:i/>
                <w:iCs/>
                <w:sz w:val="20"/>
                <w:szCs w:val="20"/>
              </w:rPr>
              <w:t>Foreign Acquisitions and Takeovers Act 1975</w:t>
            </w:r>
            <w:r w:rsidRPr="5E142495">
              <w:rPr>
                <w:rFonts w:ascii="Arial" w:hAnsi="Arial" w:cs="Arial"/>
                <w:b/>
                <w:bCs/>
                <w:sz w:val="20"/>
                <w:szCs w:val="20"/>
              </w:rPr>
              <w:t xml:space="preserve"> </w:t>
            </w:r>
          </w:p>
        </w:tc>
        <w:tc>
          <w:tcPr>
            <w:tcW w:w="3112" w:type="dxa"/>
            <w:shd w:val="clear" w:color="auto" w:fill="FFFFFF" w:themeFill="background1"/>
            <w:vAlign w:val="center"/>
          </w:tcPr>
          <w:p w14:paraId="53C4D6B1" w14:textId="57B8C625" w:rsidR="00824C3C" w:rsidRPr="00C1798F" w:rsidRDefault="00824C3C" w:rsidP="5E142495">
            <w:pPr>
              <w:spacing w:before="120" w:after="120"/>
              <w:contextualSpacing/>
              <w:rPr>
                <w:rFonts w:ascii="Arial" w:hAnsi="Arial" w:cs="Arial"/>
                <w:sz w:val="20"/>
                <w:szCs w:val="20"/>
              </w:rPr>
            </w:pPr>
            <w:r w:rsidRPr="5E142495">
              <w:rPr>
                <w:rFonts w:ascii="Arial" w:hAnsi="Arial" w:cs="Arial"/>
                <w:sz w:val="20"/>
                <w:szCs w:val="20"/>
              </w:rPr>
              <w:t xml:space="preserve">The </w:t>
            </w:r>
            <w:r w:rsidRPr="5E142495">
              <w:rPr>
                <w:rFonts w:ascii="Arial" w:hAnsi="Arial" w:cs="Arial"/>
                <w:i/>
                <w:iCs/>
                <w:sz w:val="20"/>
                <w:szCs w:val="20"/>
              </w:rPr>
              <w:t>Foreign Acquisitions and Takeovers Act 1975</w:t>
            </w:r>
            <w:r w:rsidRPr="5E142495">
              <w:rPr>
                <w:rFonts w:ascii="Arial" w:hAnsi="Arial" w:cs="Arial"/>
                <w:sz w:val="20"/>
                <w:szCs w:val="20"/>
              </w:rPr>
              <w:t xml:space="preserve"> mandates that foreign individuals must obtain approval to operate or own telecommunications services in Australia.</w:t>
            </w:r>
          </w:p>
        </w:tc>
        <w:tc>
          <w:tcPr>
            <w:tcW w:w="4638" w:type="dxa"/>
            <w:shd w:val="clear" w:color="auto" w:fill="FFFFFF" w:themeFill="background1"/>
            <w:vAlign w:val="center"/>
          </w:tcPr>
          <w:p w14:paraId="416D360B" w14:textId="66965AB2" w:rsidR="00824C3C" w:rsidRPr="00C1798F" w:rsidRDefault="00824C3C" w:rsidP="0079597C">
            <w:pPr>
              <w:spacing w:before="120" w:after="120"/>
              <w:rPr>
                <w:rFonts w:ascii="Arial" w:hAnsi="Arial" w:cs="Arial"/>
                <w:sz w:val="20"/>
                <w:szCs w:val="20"/>
              </w:rPr>
            </w:pPr>
            <w:r w:rsidRPr="5F4A6261">
              <w:rPr>
                <w:rFonts w:ascii="Arial" w:hAnsi="Arial" w:cs="Arial"/>
                <w:sz w:val="20"/>
                <w:szCs w:val="20"/>
              </w:rPr>
              <w:t>The Act provides last resort powers to deal with foreign investment-borne national security risks and to penalise officers where there were high risks of contravention of the Act. However, the FATA is not designed to directly consider the risk management activities of Australia’s critical infrastructure and cannot address the identified gaps.</w:t>
            </w:r>
          </w:p>
        </w:tc>
      </w:tr>
    </w:tbl>
    <w:p w14:paraId="5A49F4D8" w14:textId="0A2E1EC7" w:rsidR="00B01482" w:rsidRDefault="00B01482">
      <w:pPr>
        <w:rPr>
          <w:rFonts w:ascii="Arial" w:eastAsiaTheme="majorEastAsia" w:hAnsi="Arial" w:cs="Arial"/>
          <w:b/>
          <w:color w:val="2F5496" w:themeColor="accent1" w:themeShade="BF"/>
          <w:spacing w:val="-10"/>
          <w:kern w:val="28"/>
          <w:sz w:val="36"/>
          <w:szCs w:val="36"/>
        </w:rPr>
      </w:pPr>
    </w:p>
    <w:p w14:paraId="09BB8BE4" w14:textId="77777777" w:rsidR="00A41B8B" w:rsidRDefault="00A41B8B">
      <w:pPr>
        <w:rPr>
          <w:rFonts w:ascii="Arial" w:eastAsiaTheme="majorEastAsia" w:hAnsi="Arial" w:cs="Arial"/>
          <w:b/>
          <w:bCs/>
          <w:color w:val="4472C4" w:themeColor="accent1"/>
          <w:sz w:val="28"/>
          <w:szCs w:val="28"/>
        </w:rPr>
      </w:pPr>
      <w:r>
        <w:br w:type="page"/>
      </w:r>
    </w:p>
    <w:p w14:paraId="2C88794C" w14:textId="615F41F1" w:rsidR="00D20967" w:rsidRPr="000D4FEF" w:rsidRDefault="0055633C" w:rsidP="00030761">
      <w:pPr>
        <w:pStyle w:val="Heading2"/>
      </w:pPr>
      <w:r>
        <w:t xml:space="preserve">Existing standards, </w:t>
      </w:r>
      <w:r w:rsidR="00B454C1">
        <w:t>guidelines,</w:t>
      </w:r>
      <w:r>
        <w:t xml:space="preserve"> and regulators for Australia’s telecommunications sector </w:t>
      </w:r>
    </w:p>
    <w:tbl>
      <w:tblPr>
        <w:tblStyle w:val="TableGrid"/>
        <w:tblpPr w:leftFromText="180" w:rightFromText="180" w:vertAnchor="text" w:tblpY="1"/>
        <w:tblOverlap w:val="never"/>
        <w:tblW w:w="9072" w:type="dxa"/>
        <w:tblBorders>
          <w:top w:val="none" w:sz="0" w:space="0" w:color="auto"/>
          <w:left w:val="none" w:sz="0" w:space="0" w:color="auto"/>
          <w:bottom w:val="single" w:sz="4" w:space="0" w:color="A5A5A5" w:themeColor="accent3"/>
          <w:right w:val="none" w:sz="0" w:space="0" w:color="auto"/>
          <w:insideH w:val="single" w:sz="4" w:space="0" w:color="A5A5A5" w:themeColor="accent3"/>
          <w:insideV w:val="none" w:sz="0" w:space="0" w:color="auto"/>
        </w:tblBorders>
        <w:tblLook w:val="04A0" w:firstRow="1" w:lastRow="0" w:firstColumn="1" w:lastColumn="0" w:noHBand="0" w:noVBand="1"/>
      </w:tblPr>
      <w:tblGrid>
        <w:gridCol w:w="3261"/>
        <w:gridCol w:w="5811"/>
      </w:tblGrid>
      <w:tr w:rsidR="0040736E" w:rsidRPr="005D679A" w14:paraId="114939D8" w14:textId="77777777" w:rsidTr="5E142495">
        <w:trPr>
          <w:trHeight w:val="490"/>
        </w:trPr>
        <w:tc>
          <w:tcPr>
            <w:tcW w:w="3261" w:type="dxa"/>
            <w:shd w:val="clear" w:color="auto" w:fill="284B98"/>
            <w:vAlign w:val="center"/>
          </w:tcPr>
          <w:p w14:paraId="62880CC7" w14:textId="41CB4E8C" w:rsidR="0040736E" w:rsidRPr="005D679A" w:rsidRDefault="0040736E" w:rsidP="0079597C">
            <w:pPr>
              <w:spacing w:before="120" w:after="120"/>
              <w:rPr>
                <w:rFonts w:ascii="Arial" w:hAnsi="Arial" w:cs="Arial"/>
                <w:b/>
                <w:color w:val="FFFFFF" w:themeColor="background1"/>
                <w:sz w:val="20"/>
                <w:szCs w:val="20"/>
              </w:rPr>
            </w:pPr>
            <w:r w:rsidRPr="005D679A">
              <w:rPr>
                <w:rFonts w:ascii="Arial" w:hAnsi="Arial" w:cs="Arial"/>
                <w:b/>
                <w:color w:val="FFFFFF" w:themeColor="background1"/>
                <w:sz w:val="20"/>
                <w:szCs w:val="20"/>
              </w:rPr>
              <w:t>Organisation</w:t>
            </w:r>
          </w:p>
        </w:tc>
        <w:tc>
          <w:tcPr>
            <w:tcW w:w="5811" w:type="dxa"/>
            <w:shd w:val="clear" w:color="auto" w:fill="284B98"/>
            <w:vAlign w:val="center"/>
          </w:tcPr>
          <w:p w14:paraId="185F0B82" w14:textId="68D0DCFE" w:rsidR="0040736E" w:rsidRPr="005D679A" w:rsidRDefault="0040736E" w:rsidP="0079597C">
            <w:pPr>
              <w:spacing w:before="120" w:after="120"/>
              <w:rPr>
                <w:rFonts w:ascii="Arial" w:hAnsi="Arial" w:cs="Arial"/>
                <w:b/>
                <w:color w:val="FFFFFF" w:themeColor="background1"/>
                <w:sz w:val="20"/>
                <w:szCs w:val="20"/>
              </w:rPr>
            </w:pPr>
            <w:r w:rsidRPr="005D679A">
              <w:rPr>
                <w:rFonts w:ascii="Arial" w:hAnsi="Arial" w:cs="Arial"/>
                <w:b/>
                <w:color w:val="FFFFFF" w:themeColor="background1"/>
                <w:sz w:val="20"/>
                <w:szCs w:val="20"/>
              </w:rPr>
              <w:t xml:space="preserve">Standards &amp; guidelines </w:t>
            </w:r>
          </w:p>
        </w:tc>
      </w:tr>
      <w:tr w:rsidR="0040736E" w:rsidRPr="005D679A" w14:paraId="7EA5CBE6" w14:textId="77777777" w:rsidTr="00030761">
        <w:trPr>
          <w:trHeight w:val="51"/>
        </w:trPr>
        <w:tc>
          <w:tcPr>
            <w:tcW w:w="3261" w:type="dxa"/>
            <w:tcBorders>
              <w:bottom w:val="nil"/>
            </w:tcBorders>
            <w:vAlign w:val="center"/>
          </w:tcPr>
          <w:p w14:paraId="1495A6F3" w14:textId="7AE86CED" w:rsidR="0040736E" w:rsidRPr="005D679A" w:rsidRDefault="0040736E" w:rsidP="5E142495">
            <w:pPr>
              <w:spacing w:before="120" w:after="120"/>
              <w:rPr>
                <w:rFonts w:ascii="Arial" w:hAnsi="Arial" w:cs="Arial"/>
                <w:sz w:val="20"/>
                <w:szCs w:val="20"/>
              </w:rPr>
            </w:pPr>
            <w:r w:rsidRPr="5E142495">
              <w:rPr>
                <w:rFonts w:ascii="Arial" w:hAnsi="Arial" w:cs="Arial"/>
                <w:sz w:val="20"/>
                <w:szCs w:val="20"/>
              </w:rPr>
              <w:t>Department of Infrastructure, Transport, Regional Development, Communication and the Arts</w:t>
            </w:r>
          </w:p>
        </w:tc>
        <w:tc>
          <w:tcPr>
            <w:tcW w:w="5811" w:type="dxa"/>
            <w:tcBorders>
              <w:bottom w:val="nil"/>
            </w:tcBorders>
            <w:vAlign w:val="center"/>
          </w:tcPr>
          <w:p w14:paraId="1136FF65" w14:textId="35D6459E" w:rsidR="0040736E" w:rsidRPr="005D679A" w:rsidRDefault="0AB4D19D" w:rsidP="0079597C">
            <w:pPr>
              <w:spacing w:before="120" w:after="120"/>
              <w:rPr>
                <w:rFonts w:ascii="Arial" w:hAnsi="Arial" w:cs="Arial"/>
                <w:sz w:val="20"/>
                <w:szCs w:val="20"/>
              </w:rPr>
            </w:pPr>
            <w:r w:rsidRPr="70D35337">
              <w:rPr>
                <w:rFonts w:ascii="Arial" w:hAnsi="Arial" w:cs="Arial"/>
                <w:sz w:val="20"/>
                <w:szCs w:val="20"/>
              </w:rPr>
              <w:t>Telecommunications (Carrier Licence Conditions – Security Information) Declaration 202</w:t>
            </w:r>
            <w:r w:rsidR="1D7484D3" w:rsidRPr="70D35337">
              <w:rPr>
                <w:rFonts w:ascii="Arial" w:hAnsi="Arial" w:cs="Arial"/>
                <w:sz w:val="20"/>
                <w:szCs w:val="20"/>
              </w:rPr>
              <w:t>2</w:t>
            </w:r>
          </w:p>
          <w:p w14:paraId="490C79B4" w14:textId="05F080D0" w:rsidR="0040736E" w:rsidRPr="005D679A" w:rsidRDefault="0040736E" w:rsidP="0079597C">
            <w:pPr>
              <w:spacing w:before="120" w:after="120"/>
              <w:rPr>
                <w:rFonts w:ascii="Arial" w:hAnsi="Arial" w:cs="Arial"/>
                <w:sz w:val="20"/>
                <w:szCs w:val="20"/>
              </w:rPr>
            </w:pPr>
            <w:r w:rsidRPr="005D679A">
              <w:rPr>
                <w:rFonts w:ascii="Arial" w:hAnsi="Arial" w:cs="Arial"/>
                <w:sz w:val="20"/>
                <w:szCs w:val="20"/>
              </w:rPr>
              <w:t>Telecommunications (Carriage Service Provider – Security Information) Determination 2022</w:t>
            </w:r>
          </w:p>
        </w:tc>
      </w:tr>
      <w:tr w:rsidR="0040736E" w:rsidRPr="005D679A" w14:paraId="509F3257" w14:textId="77777777" w:rsidTr="00030761">
        <w:trPr>
          <w:trHeight w:val="1470"/>
        </w:trPr>
        <w:tc>
          <w:tcPr>
            <w:tcW w:w="3261" w:type="dxa"/>
            <w:tcBorders>
              <w:top w:val="nil"/>
              <w:left w:val="nil"/>
              <w:bottom w:val="nil"/>
              <w:right w:val="nil"/>
            </w:tcBorders>
            <w:vAlign w:val="center"/>
          </w:tcPr>
          <w:p w14:paraId="48D95398" w14:textId="2F5E0482" w:rsidR="0040736E" w:rsidRPr="005D679A" w:rsidRDefault="0040736E" w:rsidP="0079597C">
            <w:pPr>
              <w:spacing w:before="120" w:after="120"/>
              <w:rPr>
                <w:rFonts w:ascii="Arial" w:hAnsi="Arial" w:cs="Arial"/>
                <w:sz w:val="20"/>
                <w:szCs w:val="20"/>
              </w:rPr>
            </w:pPr>
            <w:r w:rsidRPr="005D679A">
              <w:rPr>
                <w:rFonts w:ascii="Arial" w:hAnsi="Arial" w:cs="Arial"/>
                <w:sz w:val="20"/>
                <w:szCs w:val="20"/>
              </w:rPr>
              <w:t>The Communications Access Co-ordinator (</w:t>
            </w:r>
            <w:r w:rsidR="00534484">
              <w:rPr>
                <w:rFonts w:ascii="Arial" w:hAnsi="Arial" w:cs="Arial"/>
                <w:sz w:val="20"/>
                <w:szCs w:val="20"/>
              </w:rPr>
              <w:t xml:space="preserve">within the Attorney-General’s Department, </w:t>
            </w:r>
            <w:r w:rsidRPr="005D679A">
              <w:rPr>
                <w:rFonts w:ascii="Arial" w:hAnsi="Arial" w:cs="Arial"/>
                <w:sz w:val="20"/>
                <w:szCs w:val="20"/>
              </w:rPr>
              <w:t xml:space="preserve">under TIA Act)  </w:t>
            </w:r>
          </w:p>
        </w:tc>
        <w:tc>
          <w:tcPr>
            <w:tcW w:w="5811" w:type="dxa"/>
            <w:tcBorders>
              <w:top w:val="nil"/>
              <w:left w:val="nil"/>
              <w:bottom w:val="nil"/>
              <w:right w:val="nil"/>
            </w:tcBorders>
            <w:vAlign w:val="center"/>
          </w:tcPr>
          <w:p w14:paraId="5468B972" w14:textId="6689A3AF" w:rsidR="0040736E" w:rsidRPr="005D679A" w:rsidRDefault="0040736E" w:rsidP="0079597C">
            <w:pPr>
              <w:spacing w:before="120" w:after="120"/>
              <w:rPr>
                <w:rFonts w:ascii="Arial" w:hAnsi="Arial" w:cs="Arial"/>
                <w:sz w:val="20"/>
                <w:szCs w:val="20"/>
              </w:rPr>
            </w:pPr>
            <w:r w:rsidRPr="005D679A">
              <w:rPr>
                <w:rFonts w:ascii="Arial" w:hAnsi="Arial" w:cs="Arial"/>
                <w:sz w:val="20"/>
                <w:szCs w:val="20"/>
              </w:rPr>
              <w:t>Interception capability plan to be lodged annually by 1 July</w:t>
            </w:r>
          </w:p>
        </w:tc>
      </w:tr>
    </w:tbl>
    <w:tbl>
      <w:tblPr>
        <w:tblStyle w:val="TableGrid"/>
        <w:tblW w:w="0" w:type="auto"/>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2835"/>
        <w:gridCol w:w="6181"/>
      </w:tblGrid>
      <w:tr w:rsidR="00BB6BCD" w:rsidRPr="005D679A" w14:paraId="5640B03A" w14:textId="77777777" w:rsidTr="5E142495">
        <w:trPr>
          <w:trHeight w:val="349"/>
        </w:trPr>
        <w:tc>
          <w:tcPr>
            <w:tcW w:w="2835" w:type="dxa"/>
            <w:shd w:val="clear" w:color="auto" w:fill="284B98"/>
            <w:vAlign w:val="center"/>
          </w:tcPr>
          <w:p w14:paraId="55B9F95E" w14:textId="76B6DADF" w:rsidR="00BB6BCD" w:rsidRPr="005D679A" w:rsidRDefault="34CA39D1" w:rsidP="5E142495">
            <w:pPr>
              <w:spacing w:before="120" w:after="120"/>
              <w:rPr>
                <w:rFonts w:ascii="Arial" w:hAnsi="Arial" w:cs="Arial"/>
                <w:b/>
                <w:bCs/>
                <w:color w:val="FFFFFF" w:themeColor="background1"/>
                <w:sz w:val="20"/>
                <w:szCs w:val="20"/>
              </w:rPr>
            </w:pPr>
            <w:r w:rsidRPr="5E142495">
              <w:rPr>
                <w:rFonts w:ascii="Arial" w:hAnsi="Arial" w:cs="Arial"/>
                <w:b/>
                <w:bCs/>
                <w:color w:val="FFFFFF" w:themeColor="background1"/>
                <w:sz w:val="20"/>
                <w:szCs w:val="20"/>
              </w:rPr>
              <w:t>Jurisdiction</w:t>
            </w:r>
          </w:p>
        </w:tc>
        <w:tc>
          <w:tcPr>
            <w:tcW w:w="6181" w:type="dxa"/>
            <w:shd w:val="clear" w:color="auto" w:fill="284B98"/>
            <w:vAlign w:val="center"/>
          </w:tcPr>
          <w:p w14:paraId="5AA0649D" w14:textId="7D3C24D1" w:rsidR="00BB6BCD" w:rsidRPr="005D679A" w:rsidRDefault="00BB6BCD" w:rsidP="0079597C">
            <w:pPr>
              <w:spacing w:before="120" w:after="120"/>
              <w:rPr>
                <w:rFonts w:ascii="Arial" w:hAnsi="Arial" w:cs="Arial"/>
                <w:b/>
                <w:color w:val="FFFFFF" w:themeColor="background1"/>
                <w:sz w:val="20"/>
                <w:szCs w:val="20"/>
              </w:rPr>
            </w:pPr>
            <w:r w:rsidRPr="005D679A">
              <w:rPr>
                <w:rFonts w:ascii="Arial" w:hAnsi="Arial" w:cs="Arial"/>
                <w:b/>
                <w:color w:val="FFFFFF" w:themeColor="background1"/>
                <w:sz w:val="20"/>
                <w:szCs w:val="20"/>
              </w:rPr>
              <w:t>Regulator</w:t>
            </w:r>
            <w:r w:rsidR="0071528B">
              <w:rPr>
                <w:rFonts w:ascii="Arial" w:hAnsi="Arial" w:cs="Arial"/>
                <w:b/>
                <w:color w:val="FFFFFF" w:themeColor="background1"/>
                <w:sz w:val="20"/>
                <w:szCs w:val="20"/>
              </w:rPr>
              <w:t>s</w:t>
            </w:r>
          </w:p>
        </w:tc>
      </w:tr>
      <w:tr w:rsidR="00BB6BCD" w:rsidRPr="005D679A" w14:paraId="5AE45767" w14:textId="77777777" w:rsidTr="5E142495">
        <w:tc>
          <w:tcPr>
            <w:tcW w:w="2835" w:type="dxa"/>
            <w:shd w:val="clear" w:color="auto" w:fill="F2F2F2" w:themeFill="background1" w:themeFillShade="F2"/>
            <w:vAlign w:val="center"/>
          </w:tcPr>
          <w:p w14:paraId="0AB58F12" w14:textId="03A9EBAB" w:rsidR="00BB6BCD" w:rsidRPr="005D679A" w:rsidRDefault="00BB6BCD" w:rsidP="0079597C">
            <w:pPr>
              <w:spacing w:before="120" w:after="120"/>
              <w:rPr>
                <w:rFonts w:ascii="Arial" w:hAnsi="Arial" w:cs="Arial"/>
                <w:sz w:val="20"/>
                <w:szCs w:val="20"/>
              </w:rPr>
            </w:pPr>
            <w:r w:rsidRPr="005D679A">
              <w:rPr>
                <w:rFonts w:ascii="Arial" w:hAnsi="Arial" w:cs="Arial"/>
                <w:sz w:val="20"/>
                <w:szCs w:val="20"/>
              </w:rPr>
              <w:t>Commonwealth</w:t>
            </w:r>
          </w:p>
        </w:tc>
        <w:tc>
          <w:tcPr>
            <w:tcW w:w="6181" w:type="dxa"/>
          </w:tcPr>
          <w:p w14:paraId="61AF3F51" w14:textId="775CBEA6" w:rsidR="00534484" w:rsidRDefault="00534484" w:rsidP="0079597C">
            <w:pPr>
              <w:spacing w:before="120" w:after="120"/>
              <w:rPr>
                <w:rFonts w:ascii="Arial" w:hAnsi="Arial" w:cs="Arial"/>
                <w:sz w:val="20"/>
                <w:szCs w:val="20"/>
              </w:rPr>
            </w:pPr>
            <w:r>
              <w:rPr>
                <w:rFonts w:ascii="Arial" w:hAnsi="Arial" w:cs="Arial"/>
                <w:sz w:val="20"/>
                <w:szCs w:val="20"/>
              </w:rPr>
              <w:t xml:space="preserve">Department of Home Affairs </w:t>
            </w:r>
          </w:p>
          <w:p w14:paraId="3C0AE3E3" w14:textId="7E64EEA8" w:rsidR="00534484" w:rsidRDefault="00534484" w:rsidP="5E142495">
            <w:pPr>
              <w:spacing w:before="120" w:after="120"/>
              <w:rPr>
                <w:rFonts w:ascii="Arial" w:hAnsi="Arial" w:cs="Arial"/>
                <w:sz w:val="20"/>
                <w:szCs w:val="20"/>
              </w:rPr>
            </w:pPr>
            <w:r w:rsidRPr="5E142495">
              <w:rPr>
                <w:rFonts w:ascii="Arial" w:hAnsi="Arial" w:cs="Arial"/>
                <w:sz w:val="20"/>
                <w:szCs w:val="20"/>
              </w:rPr>
              <w:t>Department of Infrastructure, Transport, Regional Development, Communication and the Arts</w:t>
            </w:r>
          </w:p>
          <w:p w14:paraId="0E473B11" w14:textId="4F072F52" w:rsidR="00BB6BCD" w:rsidRPr="005D679A" w:rsidRDefault="0002370D" w:rsidP="0079597C">
            <w:pPr>
              <w:spacing w:before="120" w:after="120"/>
              <w:rPr>
                <w:rFonts w:ascii="Arial" w:hAnsi="Arial" w:cs="Arial"/>
                <w:sz w:val="20"/>
                <w:szCs w:val="20"/>
              </w:rPr>
            </w:pPr>
            <w:r w:rsidRPr="005D679A">
              <w:rPr>
                <w:rFonts w:ascii="Arial" w:hAnsi="Arial" w:cs="Arial"/>
                <w:sz w:val="20"/>
                <w:szCs w:val="20"/>
              </w:rPr>
              <w:t>Australian Communications and Media Authority</w:t>
            </w:r>
            <w:r w:rsidR="00B50F34" w:rsidRPr="005D679A">
              <w:rPr>
                <w:rFonts w:ascii="Arial" w:hAnsi="Arial" w:cs="Arial"/>
                <w:sz w:val="20"/>
                <w:szCs w:val="20"/>
              </w:rPr>
              <w:t xml:space="preserve"> (ACMA)</w:t>
            </w:r>
            <w:r w:rsidRPr="005D679A">
              <w:rPr>
                <w:rFonts w:ascii="Arial" w:hAnsi="Arial" w:cs="Arial"/>
                <w:sz w:val="20"/>
                <w:szCs w:val="20"/>
              </w:rPr>
              <w:t xml:space="preserve"> </w:t>
            </w:r>
          </w:p>
          <w:p w14:paraId="7008B855" w14:textId="76858CCD" w:rsidR="00E9315F" w:rsidRPr="005D679A" w:rsidRDefault="00E9315F" w:rsidP="0079597C">
            <w:pPr>
              <w:spacing w:before="120" w:after="120"/>
              <w:rPr>
                <w:rFonts w:ascii="Arial" w:hAnsi="Arial" w:cs="Arial"/>
                <w:sz w:val="20"/>
                <w:szCs w:val="20"/>
              </w:rPr>
            </w:pPr>
            <w:r w:rsidRPr="005D679A">
              <w:rPr>
                <w:rFonts w:ascii="Arial" w:hAnsi="Arial" w:cs="Arial"/>
                <w:sz w:val="20"/>
                <w:szCs w:val="20"/>
              </w:rPr>
              <w:t>Australian Competition and Consumer Commission</w:t>
            </w:r>
            <w:r w:rsidR="00B50F34" w:rsidRPr="005D679A">
              <w:rPr>
                <w:rFonts w:ascii="Arial" w:hAnsi="Arial" w:cs="Arial"/>
                <w:sz w:val="20"/>
                <w:szCs w:val="20"/>
              </w:rPr>
              <w:t xml:space="preserve"> (ACCC)</w:t>
            </w:r>
          </w:p>
          <w:p w14:paraId="78CC9E37" w14:textId="2A9DE3FF" w:rsidR="006A7EB5" w:rsidRPr="005D679A" w:rsidRDefault="006A7EB5" w:rsidP="0079597C">
            <w:pPr>
              <w:spacing w:before="120" w:after="120"/>
              <w:rPr>
                <w:rFonts w:ascii="Arial" w:hAnsi="Arial" w:cs="Arial"/>
                <w:sz w:val="20"/>
                <w:szCs w:val="20"/>
              </w:rPr>
            </w:pPr>
            <w:r w:rsidRPr="005D679A">
              <w:rPr>
                <w:rFonts w:ascii="Arial" w:hAnsi="Arial" w:cs="Arial"/>
                <w:sz w:val="20"/>
                <w:szCs w:val="20"/>
              </w:rPr>
              <w:t>Telecommunications Industry Ombudsman</w:t>
            </w:r>
          </w:p>
          <w:p w14:paraId="6FC2103B" w14:textId="0697A42B" w:rsidR="00D46F0C" w:rsidRPr="005D679A" w:rsidRDefault="00D46F0C" w:rsidP="0079597C">
            <w:pPr>
              <w:spacing w:before="120" w:after="120"/>
              <w:rPr>
                <w:rFonts w:ascii="Arial" w:hAnsi="Arial" w:cs="Arial"/>
                <w:sz w:val="20"/>
                <w:szCs w:val="20"/>
              </w:rPr>
            </w:pPr>
            <w:r w:rsidRPr="005D679A">
              <w:rPr>
                <w:rFonts w:ascii="Arial" w:hAnsi="Arial" w:cs="Arial"/>
                <w:sz w:val="20"/>
                <w:szCs w:val="20"/>
              </w:rPr>
              <w:t>Australian Information Commissioner</w:t>
            </w:r>
          </w:p>
          <w:p w14:paraId="22918316" w14:textId="77777777" w:rsidR="000211DE" w:rsidRPr="005D679A" w:rsidRDefault="000211DE" w:rsidP="0079597C">
            <w:pPr>
              <w:spacing w:before="120" w:after="120"/>
              <w:rPr>
                <w:rFonts w:ascii="Arial" w:hAnsi="Arial" w:cs="Arial"/>
                <w:sz w:val="20"/>
                <w:szCs w:val="20"/>
              </w:rPr>
            </w:pPr>
            <w:r w:rsidRPr="005D679A">
              <w:rPr>
                <w:rFonts w:ascii="Arial" w:hAnsi="Arial" w:cs="Arial"/>
                <w:sz w:val="20"/>
                <w:szCs w:val="20"/>
              </w:rPr>
              <w:t>Attorney-General’s Department</w:t>
            </w:r>
          </w:p>
          <w:p w14:paraId="723E4B86" w14:textId="4A117971" w:rsidR="00E15BE1" w:rsidRPr="005D679A" w:rsidRDefault="00E15BE1" w:rsidP="0079597C">
            <w:pPr>
              <w:spacing w:before="120" w:after="120"/>
              <w:rPr>
                <w:rFonts w:ascii="Arial" w:hAnsi="Arial" w:cs="Arial"/>
                <w:sz w:val="20"/>
                <w:szCs w:val="20"/>
              </w:rPr>
            </w:pPr>
            <w:r w:rsidRPr="005D679A">
              <w:rPr>
                <w:rFonts w:ascii="Arial" w:hAnsi="Arial" w:cs="Arial"/>
                <w:sz w:val="20"/>
                <w:szCs w:val="20"/>
              </w:rPr>
              <w:t>Communications Alliance</w:t>
            </w:r>
          </w:p>
        </w:tc>
      </w:tr>
    </w:tbl>
    <w:p w14:paraId="7E673CFC" w14:textId="10EC064D" w:rsidR="0071528B" w:rsidRDefault="0071528B">
      <w:pPr>
        <w:rPr>
          <w:rFonts w:ascii="Arial" w:eastAsiaTheme="majorEastAsia" w:hAnsi="Arial" w:cs="Arial"/>
          <w:b/>
          <w:color w:val="2F5496" w:themeColor="accent1" w:themeShade="BF"/>
          <w:spacing w:val="-10"/>
          <w:kern w:val="28"/>
          <w:sz w:val="36"/>
          <w:szCs w:val="36"/>
        </w:rPr>
      </w:pPr>
    </w:p>
    <w:p w14:paraId="6B46F004" w14:textId="0707518F" w:rsidR="00C36554" w:rsidRDefault="00C36554" w:rsidP="00AD5A12">
      <w:pPr>
        <w:pStyle w:val="Heading2"/>
        <w:spacing w:after="0"/>
      </w:pPr>
      <w:r>
        <w:t xml:space="preserve">Costing process completed by responsible entities for critical telecommunications assets </w:t>
      </w:r>
    </w:p>
    <w:p w14:paraId="42DF0184" w14:textId="2C79FABA" w:rsidR="00732769" w:rsidRDefault="00114BB2" w:rsidP="002976F1">
      <w:pPr>
        <w:rPr>
          <w:rFonts w:ascii="Arial" w:hAnsi="Arial" w:cs="Arial"/>
          <w:sz w:val="20"/>
          <w:szCs w:val="20"/>
        </w:rPr>
      </w:pPr>
      <w:r w:rsidRPr="5E142495">
        <w:rPr>
          <w:rFonts w:ascii="Arial" w:hAnsi="Arial" w:cs="Arial"/>
          <w:sz w:val="20"/>
          <w:szCs w:val="20"/>
        </w:rPr>
        <w:t xml:space="preserve">Industry participants were consulted on </w:t>
      </w:r>
      <w:r w:rsidR="0028025C" w:rsidRPr="5E142495">
        <w:rPr>
          <w:rFonts w:ascii="Arial" w:hAnsi="Arial" w:cs="Arial"/>
          <w:sz w:val="20"/>
          <w:szCs w:val="20"/>
        </w:rPr>
        <w:t xml:space="preserve">the proposed regulatory changes and rules </w:t>
      </w:r>
      <w:r w:rsidR="007C7E24">
        <w:rPr>
          <w:rFonts w:ascii="Arial" w:hAnsi="Arial" w:cs="Arial"/>
          <w:sz w:val="20"/>
          <w:szCs w:val="20"/>
        </w:rPr>
        <w:t>from Q1</w:t>
      </w:r>
      <w:r w:rsidR="0028025C" w:rsidRPr="5E142495">
        <w:rPr>
          <w:rFonts w:ascii="Arial" w:hAnsi="Arial" w:cs="Arial"/>
          <w:sz w:val="20"/>
          <w:szCs w:val="20"/>
        </w:rPr>
        <w:t xml:space="preserve"> 2024</w:t>
      </w:r>
      <w:r w:rsidR="00145BED" w:rsidRPr="5E142495">
        <w:rPr>
          <w:rFonts w:ascii="Arial" w:hAnsi="Arial" w:cs="Arial"/>
          <w:sz w:val="20"/>
          <w:szCs w:val="20"/>
        </w:rPr>
        <w:t xml:space="preserve">. </w:t>
      </w:r>
      <w:r w:rsidR="00735341">
        <w:rPr>
          <w:rFonts w:ascii="Arial" w:hAnsi="Arial" w:cs="Arial"/>
          <w:sz w:val="20"/>
          <w:szCs w:val="20"/>
        </w:rPr>
        <w:t>F</w:t>
      </w:r>
      <w:r w:rsidR="00B46A7C" w:rsidRPr="5E142495">
        <w:rPr>
          <w:rFonts w:ascii="Arial" w:hAnsi="Arial" w:cs="Arial"/>
          <w:sz w:val="20"/>
          <w:szCs w:val="20"/>
        </w:rPr>
        <w:t xml:space="preserve">eedback from the initial consultation </w:t>
      </w:r>
      <w:r w:rsidR="00145BED" w:rsidRPr="5E142495">
        <w:rPr>
          <w:rFonts w:ascii="Arial" w:hAnsi="Arial" w:cs="Arial"/>
          <w:sz w:val="20"/>
          <w:szCs w:val="20"/>
        </w:rPr>
        <w:t xml:space="preserve">was </w:t>
      </w:r>
      <w:r w:rsidR="00B46A7C" w:rsidRPr="5E142495">
        <w:rPr>
          <w:rFonts w:ascii="Arial" w:hAnsi="Arial" w:cs="Arial"/>
          <w:sz w:val="20"/>
          <w:szCs w:val="20"/>
        </w:rPr>
        <w:t xml:space="preserve">incorporated into this </w:t>
      </w:r>
      <w:r w:rsidR="00C852A2">
        <w:rPr>
          <w:rFonts w:ascii="Arial" w:hAnsi="Arial" w:cs="Arial"/>
          <w:sz w:val="20"/>
          <w:szCs w:val="20"/>
        </w:rPr>
        <w:t>Supplementary Analysis</w:t>
      </w:r>
      <w:r w:rsidR="00B46A7C" w:rsidRPr="5E142495">
        <w:rPr>
          <w:rFonts w:ascii="Arial" w:hAnsi="Arial" w:cs="Arial"/>
          <w:sz w:val="20"/>
          <w:szCs w:val="20"/>
        </w:rPr>
        <w:t>.</w:t>
      </w:r>
      <w:r w:rsidR="00145BED" w:rsidRPr="5E142495">
        <w:rPr>
          <w:rFonts w:ascii="Arial" w:hAnsi="Arial" w:cs="Arial"/>
          <w:sz w:val="20"/>
          <w:szCs w:val="20"/>
        </w:rPr>
        <w:t xml:space="preserve"> </w:t>
      </w:r>
    </w:p>
    <w:p w14:paraId="4F74FA88" w14:textId="59DF241C" w:rsidR="004E4F99" w:rsidRDefault="00816D9C" w:rsidP="002976F1">
      <w:pPr>
        <w:rPr>
          <w:rFonts w:ascii="Arial" w:hAnsi="Arial" w:cs="Arial"/>
          <w:sz w:val="20"/>
          <w:szCs w:val="20"/>
        </w:rPr>
      </w:pPr>
      <w:r w:rsidRPr="5E142495">
        <w:rPr>
          <w:rFonts w:ascii="Arial" w:hAnsi="Arial" w:cs="Arial"/>
          <w:sz w:val="20"/>
          <w:szCs w:val="20"/>
        </w:rPr>
        <w:t xml:space="preserve">To assess the potential cost implications of the proposed regulatory changes, </w:t>
      </w:r>
      <w:r w:rsidR="00E13E57" w:rsidRPr="5E142495">
        <w:rPr>
          <w:rFonts w:ascii="Arial" w:hAnsi="Arial" w:cs="Arial"/>
          <w:sz w:val="20"/>
          <w:szCs w:val="20"/>
        </w:rPr>
        <w:t>a</w:t>
      </w:r>
      <w:r w:rsidR="0028025C" w:rsidRPr="5E142495">
        <w:rPr>
          <w:rFonts w:ascii="Arial" w:hAnsi="Arial" w:cs="Arial"/>
          <w:sz w:val="20"/>
          <w:szCs w:val="20"/>
        </w:rPr>
        <w:t xml:space="preserve">n additional consultation period was </w:t>
      </w:r>
      <w:r w:rsidR="00356DBA" w:rsidRPr="5E142495">
        <w:rPr>
          <w:rFonts w:ascii="Arial" w:hAnsi="Arial" w:cs="Arial"/>
          <w:sz w:val="20"/>
          <w:szCs w:val="20"/>
        </w:rPr>
        <w:t xml:space="preserve">held </w:t>
      </w:r>
      <w:r w:rsidR="00114BB2" w:rsidRPr="5E142495">
        <w:rPr>
          <w:rFonts w:ascii="Arial" w:hAnsi="Arial" w:cs="Arial"/>
          <w:sz w:val="20"/>
          <w:szCs w:val="20"/>
        </w:rPr>
        <w:t xml:space="preserve">between </w:t>
      </w:r>
      <w:r w:rsidR="007C7E24">
        <w:rPr>
          <w:rFonts w:ascii="Arial" w:hAnsi="Arial" w:cs="Arial"/>
          <w:sz w:val="20"/>
          <w:szCs w:val="20"/>
        </w:rPr>
        <w:t>15</w:t>
      </w:r>
      <w:r w:rsidR="00065882" w:rsidRPr="5E142495">
        <w:rPr>
          <w:rFonts w:ascii="Arial" w:hAnsi="Arial" w:cs="Arial"/>
          <w:sz w:val="20"/>
          <w:szCs w:val="20"/>
        </w:rPr>
        <w:t xml:space="preserve"> December 2024</w:t>
      </w:r>
      <w:r w:rsidR="00CB56C1" w:rsidRPr="5E142495">
        <w:rPr>
          <w:rFonts w:ascii="Arial" w:hAnsi="Arial" w:cs="Arial"/>
          <w:sz w:val="20"/>
          <w:szCs w:val="20"/>
        </w:rPr>
        <w:t xml:space="preserve"> and 14 February 202</w:t>
      </w:r>
      <w:r w:rsidR="00065882" w:rsidRPr="5E142495">
        <w:rPr>
          <w:rFonts w:ascii="Arial" w:hAnsi="Arial" w:cs="Arial"/>
          <w:sz w:val="20"/>
          <w:szCs w:val="20"/>
        </w:rPr>
        <w:t>5</w:t>
      </w:r>
      <w:r w:rsidR="007C7E24">
        <w:rPr>
          <w:rFonts w:ascii="Arial" w:hAnsi="Arial" w:cs="Arial"/>
          <w:sz w:val="20"/>
          <w:szCs w:val="20"/>
        </w:rPr>
        <w:t>. This consultation period</w:t>
      </w:r>
      <w:r w:rsidR="009E20A7" w:rsidRPr="5E142495">
        <w:rPr>
          <w:rFonts w:ascii="Arial" w:hAnsi="Arial" w:cs="Arial"/>
          <w:sz w:val="20"/>
          <w:szCs w:val="20"/>
        </w:rPr>
        <w:t xml:space="preserve"> sought submissions from </w:t>
      </w:r>
      <w:r w:rsidR="0028025C" w:rsidRPr="5E142495">
        <w:rPr>
          <w:rFonts w:ascii="Arial" w:hAnsi="Arial" w:cs="Arial"/>
          <w:sz w:val="20"/>
          <w:szCs w:val="20"/>
        </w:rPr>
        <w:t xml:space="preserve">Industry participants </w:t>
      </w:r>
      <w:r w:rsidR="002976F1">
        <w:rPr>
          <w:rFonts w:ascii="Arial" w:hAnsi="Arial" w:cs="Arial"/>
          <w:sz w:val="20"/>
          <w:szCs w:val="20"/>
        </w:rPr>
        <w:t>on</w:t>
      </w:r>
      <w:r w:rsidR="00722E9C" w:rsidRPr="5E142495">
        <w:rPr>
          <w:rFonts w:ascii="Arial" w:hAnsi="Arial" w:cs="Arial"/>
          <w:sz w:val="20"/>
          <w:szCs w:val="20"/>
        </w:rPr>
        <w:t xml:space="preserve"> </w:t>
      </w:r>
      <w:r w:rsidR="003E1B91" w:rsidRPr="5E142495">
        <w:rPr>
          <w:rFonts w:ascii="Arial" w:hAnsi="Arial" w:cs="Arial"/>
          <w:sz w:val="20"/>
          <w:szCs w:val="20"/>
        </w:rPr>
        <w:t xml:space="preserve">the </w:t>
      </w:r>
      <w:r w:rsidR="00096E81" w:rsidRPr="16AFC5D1">
        <w:rPr>
          <w:rFonts w:ascii="Arial" w:hAnsi="Arial" w:cs="Arial"/>
          <w:sz w:val="20"/>
          <w:szCs w:val="20"/>
        </w:rPr>
        <w:t>cost impact</w:t>
      </w:r>
      <w:r w:rsidR="002976F1">
        <w:rPr>
          <w:rFonts w:ascii="Arial" w:hAnsi="Arial" w:cs="Arial"/>
          <w:sz w:val="20"/>
          <w:szCs w:val="20"/>
        </w:rPr>
        <w:t>s</w:t>
      </w:r>
      <w:r w:rsidR="00722E9C" w:rsidRPr="5E142495">
        <w:rPr>
          <w:rFonts w:ascii="Arial" w:hAnsi="Arial" w:cs="Arial"/>
          <w:sz w:val="20"/>
          <w:szCs w:val="20"/>
        </w:rPr>
        <w:t xml:space="preserve"> </w:t>
      </w:r>
      <w:r w:rsidR="00F16DEA" w:rsidRPr="5E142495">
        <w:rPr>
          <w:rFonts w:ascii="Arial" w:hAnsi="Arial" w:cs="Arial"/>
          <w:sz w:val="20"/>
          <w:szCs w:val="20"/>
        </w:rPr>
        <w:t>of the propose</w:t>
      </w:r>
      <w:r w:rsidR="00A12C41" w:rsidRPr="5E142495">
        <w:rPr>
          <w:rFonts w:ascii="Arial" w:hAnsi="Arial" w:cs="Arial"/>
          <w:sz w:val="20"/>
          <w:szCs w:val="20"/>
        </w:rPr>
        <w:t>d</w:t>
      </w:r>
      <w:r w:rsidR="00F16DEA" w:rsidRPr="5E142495">
        <w:rPr>
          <w:rFonts w:ascii="Arial" w:hAnsi="Arial" w:cs="Arial"/>
          <w:sz w:val="20"/>
          <w:szCs w:val="20"/>
        </w:rPr>
        <w:t xml:space="preserve"> </w:t>
      </w:r>
      <w:r w:rsidR="00EF7C19">
        <w:rPr>
          <w:rFonts w:ascii="Arial" w:hAnsi="Arial" w:cs="Arial"/>
          <w:sz w:val="20"/>
          <w:szCs w:val="20"/>
        </w:rPr>
        <w:t xml:space="preserve">regulatory </w:t>
      </w:r>
      <w:r w:rsidR="00F16DEA" w:rsidRPr="5E142495">
        <w:rPr>
          <w:rFonts w:ascii="Arial" w:hAnsi="Arial" w:cs="Arial"/>
          <w:sz w:val="20"/>
          <w:szCs w:val="20"/>
        </w:rPr>
        <w:t xml:space="preserve">changes. </w:t>
      </w:r>
      <w:r w:rsidR="004D6E90" w:rsidRPr="5E142495">
        <w:rPr>
          <w:rFonts w:ascii="Arial" w:hAnsi="Arial" w:cs="Arial"/>
          <w:sz w:val="20"/>
          <w:szCs w:val="20"/>
        </w:rPr>
        <w:t>Th</w:t>
      </w:r>
      <w:r w:rsidR="00845998">
        <w:rPr>
          <w:rFonts w:ascii="Arial" w:hAnsi="Arial" w:cs="Arial"/>
          <w:sz w:val="20"/>
          <w:szCs w:val="20"/>
        </w:rPr>
        <w:t>is</w:t>
      </w:r>
      <w:r w:rsidR="00726B36" w:rsidRPr="5E142495">
        <w:rPr>
          <w:rFonts w:ascii="Arial" w:hAnsi="Arial" w:cs="Arial"/>
          <w:sz w:val="20"/>
          <w:szCs w:val="20"/>
        </w:rPr>
        <w:t xml:space="preserve"> additional</w:t>
      </w:r>
      <w:r w:rsidR="006F0F37" w:rsidRPr="5E142495">
        <w:rPr>
          <w:rFonts w:ascii="Arial" w:hAnsi="Arial" w:cs="Arial"/>
          <w:sz w:val="20"/>
          <w:szCs w:val="20"/>
        </w:rPr>
        <w:t xml:space="preserve"> consultation resulted in </w:t>
      </w:r>
      <w:r w:rsidR="004D6E90" w:rsidRPr="5E142495">
        <w:rPr>
          <w:rFonts w:ascii="Arial" w:hAnsi="Arial" w:cs="Arial"/>
          <w:sz w:val="20"/>
          <w:szCs w:val="20"/>
        </w:rPr>
        <w:t xml:space="preserve">limited engagement </w:t>
      </w:r>
      <w:r w:rsidR="00726B36" w:rsidRPr="5E142495">
        <w:rPr>
          <w:rFonts w:ascii="Arial" w:hAnsi="Arial" w:cs="Arial"/>
          <w:sz w:val="20"/>
          <w:szCs w:val="20"/>
        </w:rPr>
        <w:t>and no submissions</w:t>
      </w:r>
      <w:r w:rsidR="00B067D7">
        <w:rPr>
          <w:rFonts w:ascii="Arial" w:hAnsi="Arial" w:cs="Arial"/>
          <w:sz w:val="20"/>
          <w:szCs w:val="20"/>
        </w:rPr>
        <w:t xml:space="preserve"> on the estimated cost impact</w:t>
      </w:r>
      <w:r w:rsidR="00E31F70" w:rsidRPr="5E142495">
        <w:rPr>
          <w:rFonts w:ascii="Arial" w:hAnsi="Arial" w:cs="Arial"/>
          <w:sz w:val="20"/>
          <w:szCs w:val="20"/>
        </w:rPr>
        <w:t xml:space="preserve">. </w:t>
      </w:r>
      <w:r w:rsidR="00B33821" w:rsidRPr="5E142495">
        <w:rPr>
          <w:rFonts w:ascii="Arial" w:hAnsi="Arial" w:cs="Arial"/>
          <w:sz w:val="20"/>
          <w:szCs w:val="20"/>
        </w:rPr>
        <w:t>Noting the nil response, the</w:t>
      </w:r>
      <w:r w:rsidR="008E5F02" w:rsidRPr="5E142495">
        <w:rPr>
          <w:rFonts w:ascii="Arial" w:hAnsi="Arial" w:cs="Arial"/>
          <w:sz w:val="20"/>
          <w:szCs w:val="20"/>
        </w:rPr>
        <w:t xml:space="preserve"> Department </w:t>
      </w:r>
      <w:r w:rsidR="00E8666D" w:rsidRPr="5E142495">
        <w:rPr>
          <w:rFonts w:ascii="Arial" w:hAnsi="Arial" w:cs="Arial"/>
          <w:sz w:val="20"/>
          <w:szCs w:val="20"/>
        </w:rPr>
        <w:t xml:space="preserve">has </w:t>
      </w:r>
      <w:r w:rsidR="00171741" w:rsidRPr="16AFC5D1">
        <w:rPr>
          <w:rFonts w:ascii="Arial" w:hAnsi="Arial" w:cs="Arial"/>
          <w:sz w:val="20"/>
          <w:szCs w:val="20"/>
        </w:rPr>
        <w:t>adopted</w:t>
      </w:r>
      <w:r w:rsidR="00D7128D" w:rsidRPr="5E142495">
        <w:rPr>
          <w:rFonts w:ascii="Arial" w:hAnsi="Arial" w:cs="Arial"/>
          <w:sz w:val="20"/>
          <w:szCs w:val="20"/>
        </w:rPr>
        <w:t xml:space="preserve"> </w:t>
      </w:r>
      <w:r w:rsidR="00820832" w:rsidRPr="5E142495">
        <w:rPr>
          <w:rFonts w:ascii="Arial" w:hAnsi="Arial" w:cs="Arial"/>
          <w:sz w:val="20"/>
          <w:szCs w:val="20"/>
        </w:rPr>
        <w:t xml:space="preserve">a qualitative </w:t>
      </w:r>
      <w:r w:rsidR="00171741" w:rsidRPr="16AFC5D1">
        <w:rPr>
          <w:rFonts w:ascii="Arial" w:hAnsi="Arial" w:cs="Arial"/>
          <w:sz w:val="20"/>
          <w:szCs w:val="20"/>
        </w:rPr>
        <w:t xml:space="preserve">analysis </w:t>
      </w:r>
      <w:r w:rsidR="00820832" w:rsidRPr="16AFC5D1">
        <w:rPr>
          <w:rFonts w:ascii="Arial" w:hAnsi="Arial" w:cs="Arial"/>
          <w:sz w:val="20"/>
          <w:szCs w:val="20"/>
        </w:rPr>
        <w:t xml:space="preserve">of </w:t>
      </w:r>
      <w:r w:rsidR="00820832" w:rsidRPr="5E142495">
        <w:rPr>
          <w:rFonts w:ascii="Arial" w:hAnsi="Arial" w:cs="Arial"/>
          <w:sz w:val="20"/>
          <w:szCs w:val="20"/>
        </w:rPr>
        <w:t xml:space="preserve">the </w:t>
      </w:r>
      <w:r w:rsidR="00827756" w:rsidRPr="5E142495">
        <w:rPr>
          <w:rFonts w:ascii="Arial" w:hAnsi="Arial" w:cs="Arial"/>
          <w:sz w:val="20"/>
          <w:szCs w:val="20"/>
        </w:rPr>
        <w:t>potential impacts</w:t>
      </w:r>
      <w:r w:rsidR="000E1D1F" w:rsidRPr="5E142495">
        <w:rPr>
          <w:rFonts w:ascii="Arial" w:hAnsi="Arial" w:cs="Arial"/>
          <w:sz w:val="20"/>
          <w:szCs w:val="20"/>
        </w:rPr>
        <w:t xml:space="preserve"> to industry</w:t>
      </w:r>
      <w:r w:rsidR="00A94741" w:rsidRPr="5E142495">
        <w:rPr>
          <w:rFonts w:ascii="Arial" w:hAnsi="Arial" w:cs="Arial"/>
          <w:sz w:val="20"/>
          <w:szCs w:val="20"/>
        </w:rPr>
        <w:t xml:space="preserve"> and the broader economy</w:t>
      </w:r>
      <w:r w:rsidR="00171741" w:rsidRPr="16AFC5D1">
        <w:rPr>
          <w:rFonts w:ascii="Arial" w:hAnsi="Arial" w:cs="Arial"/>
          <w:sz w:val="20"/>
          <w:szCs w:val="20"/>
        </w:rPr>
        <w:t xml:space="preserve"> of </w:t>
      </w:r>
      <w:r w:rsidR="00FF04E4">
        <w:rPr>
          <w:rFonts w:ascii="Arial" w:hAnsi="Arial" w:cs="Arial"/>
          <w:sz w:val="20"/>
          <w:szCs w:val="20"/>
        </w:rPr>
        <w:t>the proposed regulatory option</w:t>
      </w:r>
      <w:r w:rsidR="00827756" w:rsidRPr="5E142495">
        <w:rPr>
          <w:rFonts w:ascii="Arial" w:hAnsi="Arial" w:cs="Arial"/>
          <w:sz w:val="20"/>
          <w:szCs w:val="20"/>
        </w:rPr>
        <w:t>.</w:t>
      </w:r>
    </w:p>
    <w:p w14:paraId="21AA2048" w14:textId="766DFBF9" w:rsidR="00C36554" w:rsidRDefault="004C6CD8" w:rsidP="002976F1">
      <w:pPr>
        <w:rPr>
          <w:rFonts w:ascii="Arial" w:hAnsi="Arial" w:cs="Arial"/>
          <w:sz w:val="20"/>
          <w:szCs w:val="20"/>
        </w:rPr>
      </w:pPr>
      <w:r>
        <w:rPr>
          <w:rFonts w:ascii="Arial" w:hAnsi="Arial" w:cs="Arial"/>
          <w:sz w:val="20"/>
          <w:szCs w:val="20"/>
        </w:rPr>
        <w:t xml:space="preserve">This qualitative assessment </w:t>
      </w:r>
      <w:r w:rsidR="00A94741" w:rsidRPr="5E142495">
        <w:rPr>
          <w:rFonts w:ascii="Arial" w:hAnsi="Arial" w:cs="Arial"/>
          <w:sz w:val="20"/>
          <w:szCs w:val="20"/>
        </w:rPr>
        <w:t xml:space="preserve">will </w:t>
      </w:r>
      <w:r w:rsidR="00827756" w:rsidRPr="5E142495">
        <w:rPr>
          <w:rFonts w:ascii="Arial" w:hAnsi="Arial" w:cs="Arial"/>
          <w:sz w:val="20"/>
          <w:szCs w:val="20"/>
        </w:rPr>
        <w:t xml:space="preserve">draw on the </w:t>
      </w:r>
      <w:r w:rsidR="00163B81" w:rsidRPr="5E142495">
        <w:rPr>
          <w:rFonts w:ascii="Arial" w:hAnsi="Arial" w:cs="Arial"/>
          <w:sz w:val="20"/>
          <w:szCs w:val="20"/>
        </w:rPr>
        <w:t xml:space="preserve">previous analysis </w:t>
      </w:r>
      <w:r w:rsidR="00302A80" w:rsidRPr="5E142495">
        <w:rPr>
          <w:rFonts w:ascii="Arial" w:hAnsi="Arial" w:cs="Arial"/>
          <w:sz w:val="20"/>
          <w:szCs w:val="20"/>
        </w:rPr>
        <w:t xml:space="preserve">from the 2022 Regulatory Impact Assessment </w:t>
      </w:r>
      <w:r w:rsidR="002D6A25">
        <w:rPr>
          <w:rFonts w:ascii="Arial" w:hAnsi="Arial" w:cs="Arial"/>
          <w:sz w:val="20"/>
          <w:szCs w:val="20"/>
        </w:rPr>
        <w:t xml:space="preserve">(RIS) </w:t>
      </w:r>
      <w:r w:rsidR="00302A80" w:rsidRPr="5E142495">
        <w:rPr>
          <w:rFonts w:ascii="Arial" w:hAnsi="Arial" w:cs="Arial"/>
          <w:sz w:val="20"/>
          <w:szCs w:val="20"/>
        </w:rPr>
        <w:t>of the then proposed regulatory changes to the SOCI Act</w:t>
      </w:r>
      <w:r w:rsidR="00E23D98">
        <w:rPr>
          <w:rFonts w:ascii="Arial" w:hAnsi="Arial" w:cs="Arial"/>
          <w:sz w:val="20"/>
          <w:szCs w:val="20"/>
        </w:rPr>
        <w:t xml:space="preserve">. </w:t>
      </w:r>
      <w:r w:rsidR="00131BDB" w:rsidRPr="5E142495">
        <w:rPr>
          <w:rFonts w:ascii="Arial" w:hAnsi="Arial" w:cs="Arial"/>
          <w:sz w:val="20"/>
          <w:szCs w:val="20"/>
        </w:rPr>
        <w:t xml:space="preserve">It is </w:t>
      </w:r>
      <w:r w:rsidR="00841C46" w:rsidRPr="5E142495">
        <w:rPr>
          <w:rFonts w:ascii="Arial" w:hAnsi="Arial" w:cs="Arial"/>
          <w:sz w:val="20"/>
          <w:szCs w:val="20"/>
        </w:rPr>
        <w:t>estimated</w:t>
      </w:r>
      <w:r w:rsidR="008E5F02" w:rsidRPr="5E142495">
        <w:rPr>
          <w:rFonts w:ascii="Arial" w:hAnsi="Arial" w:cs="Arial"/>
          <w:sz w:val="20"/>
          <w:szCs w:val="20"/>
        </w:rPr>
        <w:t xml:space="preserve"> </w:t>
      </w:r>
      <w:r w:rsidR="00841C46" w:rsidRPr="5E142495">
        <w:rPr>
          <w:rFonts w:ascii="Arial" w:hAnsi="Arial" w:cs="Arial"/>
          <w:sz w:val="20"/>
          <w:szCs w:val="20"/>
        </w:rPr>
        <w:t xml:space="preserve">that the </w:t>
      </w:r>
      <w:r w:rsidR="008E5F02" w:rsidRPr="5E142495">
        <w:rPr>
          <w:rFonts w:ascii="Arial" w:hAnsi="Arial" w:cs="Arial"/>
          <w:sz w:val="20"/>
          <w:szCs w:val="20"/>
        </w:rPr>
        <w:t xml:space="preserve">cost to implement the regulatory changes </w:t>
      </w:r>
      <w:r w:rsidR="00841C46" w:rsidRPr="5E142495">
        <w:rPr>
          <w:rFonts w:ascii="Arial" w:hAnsi="Arial" w:cs="Arial"/>
          <w:sz w:val="20"/>
          <w:szCs w:val="20"/>
        </w:rPr>
        <w:t xml:space="preserve">for critical telecommunications assets </w:t>
      </w:r>
      <w:r w:rsidR="008E5F02" w:rsidRPr="5E142495">
        <w:rPr>
          <w:rFonts w:ascii="Arial" w:hAnsi="Arial" w:cs="Arial"/>
          <w:sz w:val="20"/>
          <w:szCs w:val="20"/>
        </w:rPr>
        <w:t xml:space="preserve">would </w:t>
      </w:r>
      <w:r w:rsidR="00E23D98">
        <w:rPr>
          <w:rFonts w:ascii="Arial" w:hAnsi="Arial" w:cs="Arial"/>
          <w:sz w:val="20"/>
          <w:szCs w:val="20"/>
        </w:rPr>
        <w:t>not be more than</w:t>
      </w:r>
      <w:r w:rsidR="00832F29">
        <w:rPr>
          <w:rFonts w:ascii="Arial" w:hAnsi="Arial" w:cs="Arial"/>
          <w:sz w:val="20"/>
          <w:szCs w:val="20"/>
        </w:rPr>
        <w:t>, and is likely to be less than</w:t>
      </w:r>
      <w:r w:rsidR="002D6A25">
        <w:rPr>
          <w:rFonts w:ascii="Arial" w:hAnsi="Arial" w:cs="Arial"/>
          <w:sz w:val="20"/>
          <w:szCs w:val="20"/>
        </w:rPr>
        <w:t>,</w:t>
      </w:r>
      <w:r w:rsidR="00203B54" w:rsidRPr="5E142495">
        <w:rPr>
          <w:rFonts w:ascii="Arial" w:hAnsi="Arial" w:cs="Arial"/>
          <w:sz w:val="20"/>
          <w:szCs w:val="20"/>
        </w:rPr>
        <w:t xml:space="preserve"> that of the regulatory changes</w:t>
      </w:r>
      <w:r w:rsidR="00A46D59">
        <w:rPr>
          <w:rFonts w:ascii="Arial" w:hAnsi="Arial" w:cs="Arial"/>
          <w:sz w:val="20"/>
          <w:szCs w:val="20"/>
        </w:rPr>
        <w:t xml:space="preserve"> for other critical infrastructure assets (and</w:t>
      </w:r>
      <w:r w:rsidR="00203B54" w:rsidRPr="5E142495">
        <w:rPr>
          <w:rFonts w:ascii="Arial" w:hAnsi="Arial" w:cs="Arial"/>
          <w:sz w:val="20"/>
          <w:szCs w:val="20"/>
        </w:rPr>
        <w:t xml:space="preserve"> </w:t>
      </w:r>
      <w:r w:rsidR="00A46D59">
        <w:rPr>
          <w:rFonts w:ascii="Arial" w:hAnsi="Arial" w:cs="Arial"/>
          <w:sz w:val="20"/>
          <w:szCs w:val="20"/>
        </w:rPr>
        <w:t>which were examined</w:t>
      </w:r>
      <w:r w:rsidR="00203B54" w:rsidRPr="5E142495">
        <w:rPr>
          <w:rFonts w:ascii="Arial" w:hAnsi="Arial" w:cs="Arial"/>
          <w:sz w:val="20"/>
          <w:szCs w:val="20"/>
        </w:rPr>
        <w:t xml:space="preserve"> </w:t>
      </w:r>
      <w:r w:rsidR="00A46D59">
        <w:rPr>
          <w:rFonts w:ascii="Arial" w:hAnsi="Arial" w:cs="Arial"/>
          <w:sz w:val="20"/>
          <w:szCs w:val="20"/>
        </w:rPr>
        <w:t>in</w:t>
      </w:r>
      <w:r w:rsidR="00203B54" w:rsidRPr="5E142495">
        <w:rPr>
          <w:rFonts w:ascii="Arial" w:hAnsi="Arial" w:cs="Arial"/>
          <w:sz w:val="20"/>
          <w:szCs w:val="20"/>
        </w:rPr>
        <w:t xml:space="preserve"> the</w:t>
      </w:r>
      <w:r w:rsidR="00A46D59">
        <w:rPr>
          <w:rFonts w:ascii="Arial" w:hAnsi="Arial" w:cs="Arial"/>
          <w:sz w:val="20"/>
          <w:szCs w:val="20"/>
        </w:rPr>
        <w:t xml:space="preserve"> 2022</w:t>
      </w:r>
      <w:r w:rsidR="00203B54" w:rsidRPr="5E142495">
        <w:rPr>
          <w:rFonts w:ascii="Arial" w:hAnsi="Arial" w:cs="Arial"/>
          <w:sz w:val="20"/>
          <w:szCs w:val="20"/>
        </w:rPr>
        <w:t xml:space="preserve"> SOCI </w:t>
      </w:r>
      <w:r w:rsidR="009533F0" w:rsidRPr="16AFC5D1">
        <w:rPr>
          <w:rFonts w:ascii="Arial" w:hAnsi="Arial" w:cs="Arial"/>
          <w:sz w:val="20"/>
          <w:szCs w:val="20"/>
        </w:rPr>
        <w:t>RIS</w:t>
      </w:r>
      <w:r w:rsidR="00A46D59">
        <w:rPr>
          <w:rFonts w:ascii="Arial" w:hAnsi="Arial" w:cs="Arial"/>
          <w:sz w:val="20"/>
          <w:szCs w:val="20"/>
        </w:rPr>
        <w:t>)</w:t>
      </w:r>
      <w:r w:rsidR="00203B54" w:rsidRPr="16AFC5D1">
        <w:rPr>
          <w:rFonts w:ascii="Arial" w:hAnsi="Arial" w:cs="Arial"/>
          <w:sz w:val="20"/>
          <w:szCs w:val="20"/>
        </w:rPr>
        <w:t>.</w:t>
      </w:r>
    </w:p>
    <w:p w14:paraId="621D1273" w14:textId="2521B395" w:rsidR="00C36554" w:rsidRDefault="00C36554" w:rsidP="00AD5A12">
      <w:pPr>
        <w:pStyle w:val="Heading2"/>
        <w:spacing w:after="0"/>
      </w:pPr>
      <w:r w:rsidRPr="5E142495">
        <w:t>Likely net benefit – option 2</w:t>
      </w:r>
    </w:p>
    <w:p w14:paraId="7E3B2E23" w14:textId="2CA7EA1E" w:rsidR="002A51D8" w:rsidRPr="00AD5A12" w:rsidRDefault="002A51D8" w:rsidP="5E142495">
      <w:pPr>
        <w:rPr>
          <w:rFonts w:ascii="Arial" w:hAnsi="Arial" w:cs="Arial"/>
          <w:sz w:val="20"/>
          <w:szCs w:val="20"/>
        </w:rPr>
      </w:pPr>
      <w:r w:rsidRPr="5E142495">
        <w:rPr>
          <w:rFonts w:ascii="Arial" w:hAnsi="Arial" w:cs="Arial"/>
          <w:sz w:val="20"/>
          <w:szCs w:val="20"/>
        </w:rPr>
        <w:t xml:space="preserve">The following section details the costs and benefits associated with option 2 (the regulatory option) before assessing the overall likely net benefit presented by this option. </w:t>
      </w:r>
    </w:p>
    <w:p w14:paraId="442D0C4F" w14:textId="379F37E7" w:rsidR="00C36554" w:rsidRPr="00AD5A12" w:rsidRDefault="00C36554" w:rsidP="00C36554">
      <w:pPr>
        <w:pStyle w:val="Heading3"/>
        <w:rPr>
          <w:rFonts w:ascii="Arial" w:hAnsi="Arial" w:cs="Arial"/>
          <w:b/>
          <w:color w:val="auto"/>
          <w:sz w:val="22"/>
          <w:szCs w:val="22"/>
        </w:rPr>
      </w:pPr>
      <w:r w:rsidRPr="00AD5A12">
        <w:rPr>
          <w:rFonts w:ascii="Arial" w:hAnsi="Arial" w:cs="Arial"/>
          <w:b/>
          <w:color w:val="auto"/>
          <w:sz w:val="22"/>
          <w:szCs w:val="22"/>
        </w:rPr>
        <w:t>Costs of option 2</w:t>
      </w:r>
    </w:p>
    <w:p w14:paraId="7D4A6E68" w14:textId="30325D0C" w:rsidR="00CD6245" w:rsidRDefault="006F3035" w:rsidP="5E142495">
      <w:pPr>
        <w:rPr>
          <w:rFonts w:ascii="Arial" w:hAnsi="Arial" w:cs="Arial"/>
          <w:sz w:val="20"/>
          <w:szCs w:val="20"/>
        </w:rPr>
      </w:pPr>
      <w:r w:rsidRPr="5E142495">
        <w:rPr>
          <w:rFonts w:ascii="Arial" w:hAnsi="Arial" w:cs="Arial"/>
          <w:sz w:val="20"/>
          <w:szCs w:val="20"/>
        </w:rPr>
        <w:t xml:space="preserve">The cost of regulation will be borne by </w:t>
      </w:r>
      <w:r w:rsidR="00B17A6F">
        <w:rPr>
          <w:rFonts w:ascii="Arial" w:hAnsi="Arial" w:cs="Arial"/>
          <w:sz w:val="20"/>
          <w:szCs w:val="20"/>
        </w:rPr>
        <w:t>responsible entities</w:t>
      </w:r>
      <w:r w:rsidRPr="5E142495">
        <w:rPr>
          <w:rFonts w:ascii="Arial" w:hAnsi="Arial" w:cs="Arial"/>
          <w:sz w:val="20"/>
          <w:szCs w:val="20"/>
        </w:rPr>
        <w:t xml:space="preserve"> for critical </w:t>
      </w:r>
      <w:r w:rsidR="005176AE" w:rsidRPr="5E142495">
        <w:rPr>
          <w:rFonts w:ascii="Arial" w:hAnsi="Arial" w:cs="Arial"/>
          <w:sz w:val="20"/>
          <w:szCs w:val="20"/>
        </w:rPr>
        <w:t xml:space="preserve">telecommunications </w:t>
      </w:r>
      <w:r w:rsidRPr="5E142495">
        <w:rPr>
          <w:rFonts w:ascii="Arial" w:hAnsi="Arial" w:cs="Arial"/>
          <w:sz w:val="20"/>
          <w:szCs w:val="20"/>
        </w:rPr>
        <w:t xml:space="preserve">assets </w:t>
      </w:r>
      <w:r w:rsidR="00B17A6F">
        <w:rPr>
          <w:rFonts w:ascii="Arial" w:hAnsi="Arial" w:cs="Arial"/>
          <w:sz w:val="20"/>
          <w:szCs w:val="20"/>
        </w:rPr>
        <w:t>who meet the threshold in the Rules</w:t>
      </w:r>
      <w:r w:rsidRPr="5E142495">
        <w:rPr>
          <w:rFonts w:ascii="Arial" w:hAnsi="Arial" w:cs="Arial"/>
          <w:sz w:val="20"/>
          <w:szCs w:val="20"/>
        </w:rPr>
        <w:t xml:space="preserve">. </w:t>
      </w:r>
      <w:r w:rsidR="00CD6245">
        <w:rPr>
          <w:rFonts w:ascii="Arial" w:hAnsi="Arial" w:cs="Arial"/>
          <w:sz w:val="20"/>
          <w:szCs w:val="20"/>
        </w:rPr>
        <w:t xml:space="preserve">The direct costs of regulation have been assessed </w:t>
      </w:r>
      <w:r w:rsidR="00BA528B">
        <w:rPr>
          <w:rFonts w:ascii="Arial" w:hAnsi="Arial" w:cs="Arial"/>
          <w:sz w:val="20"/>
          <w:szCs w:val="20"/>
        </w:rPr>
        <w:t xml:space="preserve">against the cost impact rating scale in the table below. </w:t>
      </w:r>
      <w:r w:rsidR="00E87CAC">
        <w:rPr>
          <w:rFonts w:ascii="Arial" w:hAnsi="Arial" w:cs="Arial"/>
          <w:sz w:val="20"/>
          <w:szCs w:val="20"/>
        </w:rPr>
        <w:t xml:space="preserve">For each element of the proposed regulatory change, an assessment of </w:t>
      </w:r>
      <w:r w:rsidR="00FD741D">
        <w:rPr>
          <w:rFonts w:ascii="Arial" w:hAnsi="Arial" w:cs="Arial"/>
          <w:sz w:val="20"/>
          <w:szCs w:val="20"/>
        </w:rPr>
        <w:t xml:space="preserve">the scale of </w:t>
      </w:r>
      <w:r w:rsidR="00CB46D9">
        <w:rPr>
          <w:rFonts w:ascii="Arial" w:hAnsi="Arial" w:cs="Arial"/>
          <w:sz w:val="20"/>
          <w:szCs w:val="20"/>
        </w:rPr>
        <w:t xml:space="preserve">cost impact to industry </w:t>
      </w:r>
      <w:r w:rsidR="00FD0E98">
        <w:rPr>
          <w:rFonts w:ascii="Arial" w:hAnsi="Arial" w:cs="Arial"/>
          <w:sz w:val="20"/>
          <w:szCs w:val="20"/>
        </w:rPr>
        <w:t>has been made.</w:t>
      </w:r>
    </w:p>
    <w:p w14:paraId="05D0E8E1" w14:textId="63E7F076" w:rsidR="00391938" w:rsidRDefault="006F3035">
      <w:pPr>
        <w:rPr>
          <w:rFonts w:ascii="Calibri" w:hAnsi="Calibri" w:cs="Calibri"/>
          <w:i/>
          <w:sz w:val="18"/>
          <w:szCs w:val="18"/>
          <w:lang w:eastAsia="en-AU"/>
        </w:rPr>
      </w:pPr>
      <w:r w:rsidRPr="5E142495">
        <w:rPr>
          <w:rFonts w:ascii="Arial" w:hAnsi="Arial" w:cs="Arial"/>
          <w:sz w:val="20"/>
          <w:szCs w:val="20"/>
        </w:rPr>
        <w:t xml:space="preserve">Community organisations and individuals will not be directly affected but there will likely be indirect costs passed onto consumers. </w:t>
      </w:r>
      <w:r w:rsidR="00236DBD">
        <w:rPr>
          <w:rFonts w:ascii="Arial" w:hAnsi="Arial" w:cs="Arial"/>
          <w:sz w:val="20"/>
          <w:szCs w:val="20"/>
        </w:rPr>
        <w:t xml:space="preserve">Without quantification of the direct cost impact, an assessment of the indirect impact </w:t>
      </w:r>
      <w:r w:rsidR="00153C22">
        <w:rPr>
          <w:rFonts w:ascii="Arial" w:hAnsi="Arial" w:cs="Arial"/>
          <w:sz w:val="20"/>
          <w:szCs w:val="20"/>
        </w:rPr>
        <w:t xml:space="preserve">is </w:t>
      </w:r>
      <w:r w:rsidR="00CB46D9">
        <w:rPr>
          <w:rFonts w:ascii="Arial" w:hAnsi="Arial" w:cs="Arial"/>
          <w:sz w:val="20"/>
          <w:szCs w:val="20"/>
        </w:rPr>
        <w:t>difficult</w:t>
      </w:r>
      <w:r w:rsidR="00153C22">
        <w:rPr>
          <w:rFonts w:ascii="Arial" w:hAnsi="Arial" w:cs="Arial"/>
          <w:sz w:val="20"/>
          <w:szCs w:val="20"/>
        </w:rPr>
        <w:t xml:space="preserve">. For the purposes of this </w:t>
      </w:r>
      <w:r w:rsidR="00C852A2">
        <w:rPr>
          <w:rFonts w:ascii="Arial" w:hAnsi="Arial" w:cs="Arial"/>
          <w:sz w:val="20"/>
          <w:szCs w:val="20"/>
        </w:rPr>
        <w:t>Supplementary Analysis</w:t>
      </w:r>
      <w:r w:rsidR="00153C22">
        <w:rPr>
          <w:rFonts w:ascii="Arial" w:hAnsi="Arial" w:cs="Arial"/>
          <w:sz w:val="20"/>
          <w:szCs w:val="20"/>
        </w:rPr>
        <w:t xml:space="preserve">, consideration of the indirect impact has been limited to </w:t>
      </w:r>
      <w:r w:rsidR="00045288">
        <w:rPr>
          <w:rFonts w:ascii="Arial" w:hAnsi="Arial" w:cs="Arial"/>
          <w:sz w:val="20"/>
          <w:szCs w:val="20"/>
        </w:rPr>
        <w:t>commentary on the economic analysis undertaken for the other critical infrastructure asset</w:t>
      </w:r>
      <w:r w:rsidR="0032112E">
        <w:rPr>
          <w:rFonts w:ascii="Arial" w:hAnsi="Arial" w:cs="Arial"/>
          <w:sz w:val="20"/>
          <w:szCs w:val="20"/>
        </w:rPr>
        <w:t xml:space="preserve"> classes</w:t>
      </w:r>
      <w:r w:rsidR="00045288">
        <w:rPr>
          <w:rFonts w:ascii="Arial" w:hAnsi="Arial" w:cs="Arial"/>
          <w:sz w:val="20"/>
          <w:szCs w:val="20"/>
        </w:rPr>
        <w:t xml:space="preserve"> </w:t>
      </w:r>
      <w:r w:rsidR="00502C80">
        <w:rPr>
          <w:rFonts w:ascii="Arial" w:hAnsi="Arial" w:cs="Arial"/>
          <w:sz w:val="20"/>
          <w:szCs w:val="20"/>
        </w:rPr>
        <w:t>examined in the 2022 SOCI RIS.</w:t>
      </w:r>
      <w:bookmarkStart w:id="1" w:name="_Hlk178195539"/>
    </w:p>
    <w:p w14:paraId="029F1E9D" w14:textId="4D990F10" w:rsidR="007517C2" w:rsidRPr="007517C2" w:rsidRDefault="00DC76E9" w:rsidP="00030761">
      <w:pPr>
        <w:pStyle w:val="Caption"/>
        <w:spacing w:after="0"/>
        <w:rPr>
          <w:rFonts w:ascii="Calibri" w:hAnsi="Calibri" w:cs="Calibri"/>
        </w:rPr>
      </w:pPr>
      <w:r>
        <w:rPr>
          <w:rFonts w:ascii="Calibri" w:hAnsi="Calibri" w:cs="Calibri"/>
          <w:b w:val="0"/>
        </w:rPr>
        <w:t>C</w:t>
      </w:r>
      <w:r w:rsidR="00AB1155">
        <w:rPr>
          <w:rFonts w:ascii="Calibri" w:hAnsi="Calibri" w:cs="Calibri"/>
          <w:b w:val="0"/>
        </w:rPr>
        <w:t>ost impact rating</w:t>
      </w:r>
      <w:r>
        <w:rPr>
          <w:rFonts w:ascii="Calibri" w:hAnsi="Calibri" w:cs="Calibri"/>
          <w:b w:val="0"/>
        </w:rPr>
        <w:t xml:space="preserve"> scale</w:t>
      </w:r>
    </w:p>
    <w:tbl>
      <w:tblPr>
        <w:tblStyle w:val="KPMGTable"/>
        <w:tblW w:w="9214" w:type="dxa"/>
        <w:tblLayout w:type="fixed"/>
        <w:tblLook w:val="04A0" w:firstRow="1" w:lastRow="0" w:firstColumn="1" w:lastColumn="0" w:noHBand="0" w:noVBand="1"/>
      </w:tblPr>
      <w:tblGrid>
        <w:gridCol w:w="2977"/>
        <w:gridCol w:w="6237"/>
      </w:tblGrid>
      <w:tr w:rsidR="001157CD" w14:paraId="5DDFB2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194CFC0" w14:textId="77777777" w:rsidR="001157CD" w:rsidRDefault="001157CD">
            <w:pPr>
              <w:pStyle w:val="TableHeading"/>
            </w:pPr>
            <w:r>
              <w:t>Cost Impact Rating</w:t>
            </w:r>
          </w:p>
        </w:tc>
        <w:tc>
          <w:tcPr>
            <w:tcW w:w="6237" w:type="dxa"/>
          </w:tcPr>
          <w:p w14:paraId="34F2B392" w14:textId="77777777" w:rsidR="001157CD" w:rsidRDefault="001157CD">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1157CD" w14:paraId="1B90B237" w14:textId="77777777">
        <w:tc>
          <w:tcPr>
            <w:cnfStyle w:val="001000000000" w:firstRow="0" w:lastRow="0" w:firstColumn="1" w:lastColumn="0" w:oddVBand="0" w:evenVBand="0" w:oddHBand="0" w:evenHBand="0" w:firstRowFirstColumn="0" w:firstRowLastColumn="0" w:lastRowFirstColumn="0" w:lastRowLastColumn="0"/>
            <w:tcW w:w="2977" w:type="dxa"/>
          </w:tcPr>
          <w:p w14:paraId="69BF21B2" w14:textId="77777777" w:rsidR="001157CD" w:rsidRPr="00B405AE" w:rsidRDefault="001157CD">
            <w:pPr>
              <w:pStyle w:val="BodyText"/>
              <w:rPr>
                <w:b/>
                <w:bCs/>
              </w:rPr>
            </w:pPr>
            <w:r w:rsidRPr="00B405AE">
              <w:rPr>
                <w:b/>
                <w:bCs/>
              </w:rPr>
              <w:t>Low</w:t>
            </w:r>
          </w:p>
        </w:tc>
        <w:tc>
          <w:tcPr>
            <w:tcW w:w="6237" w:type="dxa"/>
          </w:tcPr>
          <w:p w14:paraId="647C9C9A" w14:textId="77777777" w:rsidR="001157CD" w:rsidRDefault="001157CD">
            <w:pPr>
              <w:pStyle w:val="BodyText"/>
              <w:cnfStyle w:val="000000000000" w:firstRow="0" w:lastRow="0" w:firstColumn="0" w:lastColumn="0" w:oddVBand="0" w:evenVBand="0" w:oddHBand="0" w:evenHBand="0" w:firstRowFirstColumn="0" w:firstRowLastColumn="0" w:lastRowFirstColumn="0" w:lastRowLastColumn="0"/>
            </w:pPr>
            <w:r w:rsidRPr="00467E32">
              <w:t xml:space="preserve">The </w:t>
            </w:r>
            <w:r>
              <w:t>required uplift or change to an entity’s processes, capability, governance and systems is minor. The requirements of SOCI are being substantively met by current activities and consequently, the marginal cost of implementing and maintaining compliance with the SOCI obligations is Low.</w:t>
            </w:r>
          </w:p>
        </w:tc>
      </w:tr>
      <w:tr w:rsidR="001157CD" w14:paraId="37FE66A1" w14:textId="77777777">
        <w:tc>
          <w:tcPr>
            <w:cnfStyle w:val="001000000000" w:firstRow="0" w:lastRow="0" w:firstColumn="1" w:lastColumn="0" w:oddVBand="0" w:evenVBand="0" w:oddHBand="0" w:evenHBand="0" w:firstRowFirstColumn="0" w:firstRowLastColumn="0" w:lastRowFirstColumn="0" w:lastRowLastColumn="0"/>
            <w:tcW w:w="2977" w:type="dxa"/>
          </w:tcPr>
          <w:p w14:paraId="19119B89" w14:textId="77777777" w:rsidR="001157CD" w:rsidRPr="00B405AE" w:rsidRDefault="001157CD">
            <w:pPr>
              <w:pStyle w:val="BodyText"/>
              <w:rPr>
                <w:b/>
                <w:bCs/>
              </w:rPr>
            </w:pPr>
            <w:r w:rsidRPr="00B405AE">
              <w:rPr>
                <w:b/>
                <w:bCs/>
              </w:rPr>
              <w:t>Moderate</w:t>
            </w:r>
          </w:p>
        </w:tc>
        <w:tc>
          <w:tcPr>
            <w:tcW w:w="6237" w:type="dxa"/>
          </w:tcPr>
          <w:p w14:paraId="5388890C" w14:textId="77777777" w:rsidR="001157CD" w:rsidRDefault="001157CD">
            <w:pPr>
              <w:pStyle w:val="BodyText"/>
              <w:cnfStyle w:val="000000000000" w:firstRow="0" w:lastRow="0" w:firstColumn="0" w:lastColumn="0" w:oddVBand="0" w:evenVBand="0" w:oddHBand="0" w:evenHBand="0" w:firstRowFirstColumn="0" w:firstRowLastColumn="0" w:lastRowFirstColumn="0" w:lastRowLastColumn="0"/>
            </w:pPr>
            <w:r w:rsidRPr="00467E32">
              <w:t xml:space="preserve">The </w:t>
            </w:r>
            <w:r>
              <w:t>required uplift or change to an entity’s processes, capability, governance and systems is significant in some but not all areas of the business. The requirements of SOCI are being partially met by current activities and consequently, the marginal cost of implementing and maintaining compliance with the SOCI obligations is Moderate.</w:t>
            </w:r>
          </w:p>
        </w:tc>
      </w:tr>
      <w:tr w:rsidR="001157CD" w14:paraId="27BF0F3B" w14:textId="77777777">
        <w:tc>
          <w:tcPr>
            <w:cnfStyle w:val="001000000000" w:firstRow="0" w:lastRow="0" w:firstColumn="1" w:lastColumn="0" w:oddVBand="0" w:evenVBand="0" w:oddHBand="0" w:evenHBand="0" w:firstRowFirstColumn="0" w:firstRowLastColumn="0" w:lastRowFirstColumn="0" w:lastRowLastColumn="0"/>
            <w:tcW w:w="2977" w:type="dxa"/>
          </w:tcPr>
          <w:p w14:paraId="35B3FD17" w14:textId="77777777" w:rsidR="001157CD" w:rsidRPr="00B405AE" w:rsidRDefault="001157CD">
            <w:pPr>
              <w:pStyle w:val="BodyText"/>
              <w:rPr>
                <w:b/>
                <w:bCs/>
              </w:rPr>
            </w:pPr>
            <w:r w:rsidRPr="00B405AE">
              <w:rPr>
                <w:b/>
                <w:bCs/>
              </w:rPr>
              <w:t>High</w:t>
            </w:r>
          </w:p>
        </w:tc>
        <w:tc>
          <w:tcPr>
            <w:tcW w:w="6237" w:type="dxa"/>
          </w:tcPr>
          <w:p w14:paraId="55012396" w14:textId="77777777" w:rsidR="001157CD" w:rsidRDefault="001157CD">
            <w:pPr>
              <w:pStyle w:val="BodyText"/>
              <w:cnfStyle w:val="000000000000" w:firstRow="0" w:lastRow="0" w:firstColumn="0" w:lastColumn="0" w:oddVBand="0" w:evenVBand="0" w:oddHBand="0" w:evenHBand="0" w:firstRowFirstColumn="0" w:firstRowLastColumn="0" w:lastRowFirstColumn="0" w:lastRowLastColumn="0"/>
            </w:pPr>
            <w:r w:rsidRPr="00467E32">
              <w:t xml:space="preserve">The </w:t>
            </w:r>
            <w:r>
              <w:t>required uplift or change to an entity’s processes, capability, governance and systems is significant in most areas of the business. The requirements of SOCI are not being met by current activities and consequently, the marginal cost of implementing and maintaining compliance with the SOCI obligations is High.</w:t>
            </w:r>
          </w:p>
        </w:tc>
      </w:tr>
    </w:tbl>
    <w:p w14:paraId="56720F28" w14:textId="77777777" w:rsidR="00F82E47" w:rsidRDefault="00252112" w:rsidP="00F82E47">
      <w:pPr>
        <w:rPr>
          <w:rFonts w:ascii="Calibri" w:hAnsi="Calibri" w:cs="Calibri"/>
          <w:b/>
        </w:rPr>
      </w:pPr>
      <w:r w:rsidRPr="006D272F">
        <w:rPr>
          <w:rFonts w:ascii="Calibri" w:hAnsi="Calibri" w:cs="Calibri"/>
          <w:b/>
        </w:rPr>
        <w:t xml:space="preserve"> </w:t>
      </w:r>
    </w:p>
    <w:p w14:paraId="772DBA03" w14:textId="474A95E3" w:rsidR="006E673F" w:rsidRDefault="005A7524" w:rsidP="00030761">
      <w:pPr>
        <w:pStyle w:val="Caption"/>
        <w:spacing w:after="0"/>
        <w:rPr>
          <w:rFonts w:ascii="Calibri" w:hAnsi="Calibri" w:cs="Calibri"/>
          <w:b w:val="0"/>
        </w:rPr>
      </w:pPr>
      <w:r>
        <w:rPr>
          <w:rFonts w:ascii="Calibri" w:hAnsi="Calibri" w:cs="Calibri"/>
          <w:b w:val="0"/>
        </w:rPr>
        <w:t>Assessment of cost impact to critical infrastructure asset</w:t>
      </w:r>
      <w:r w:rsidR="00DC76E9">
        <w:rPr>
          <w:rFonts w:ascii="Calibri" w:hAnsi="Calibri" w:cs="Calibri"/>
          <w:b w:val="0"/>
        </w:rPr>
        <w:t>s</w:t>
      </w:r>
    </w:p>
    <w:tbl>
      <w:tblPr>
        <w:tblStyle w:val="KPMGTable"/>
        <w:tblW w:w="5000" w:type="pct"/>
        <w:tblLook w:val="04A0" w:firstRow="1" w:lastRow="0" w:firstColumn="1" w:lastColumn="0" w:noHBand="0" w:noVBand="1"/>
      </w:tblPr>
      <w:tblGrid>
        <w:gridCol w:w="3253"/>
        <w:gridCol w:w="1424"/>
        <w:gridCol w:w="4349"/>
      </w:tblGrid>
      <w:tr w:rsidR="0024236B" w14:paraId="3545F586" w14:textId="4E746E43" w:rsidTr="000307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2" w:type="pct"/>
          </w:tcPr>
          <w:p w14:paraId="4D6171AC" w14:textId="69616DF0" w:rsidR="0024236B" w:rsidRDefault="0024236B" w:rsidP="00030761">
            <w:pPr>
              <w:pStyle w:val="TableHeading"/>
              <w:keepLines/>
            </w:pPr>
            <w:r>
              <w:t>Proposed changes</w:t>
            </w:r>
          </w:p>
        </w:tc>
        <w:tc>
          <w:tcPr>
            <w:tcW w:w="789" w:type="pct"/>
          </w:tcPr>
          <w:p w14:paraId="2E52B066" w14:textId="12CF4E69" w:rsidR="0024236B" w:rsidRDefault="001E67D5" w:rsidP="00030761">
            <w:pPr>
              <w:pStyle w:val="TableHeading"/>
              <w:keepLines/>
              <w:cnfStyle w:val="100000000000" w:firstRow="1" w:lastRow="0" w:firstColumn="0" w:lastColumn="0" w:oddVBand="0" w:evenVBand="0" w:oddHBand="0" w:evenHBand="0" w:firstRowFirstColumn="0" w:firstRowLastColumn="0" w:lastRowFirstColumn="0" w:lastRowLastColumn="0"/>
            </w:pPr>
            <w:r>
              <w:t>Cost Impact Rating</w:t>
            </w:r>
          </w:p>
        </w:tc>
        <w:tc>
          <w:tcPr>
            <w:tcW w:w="2409" w:type="pct"/>
          </w:tcPr>
          <w:p w14:paraId="63B6CE90" w14:textId="58BFF964" w:rsidR="0024236B" w:rsidRDefault="001E67D5" w:rsidP="00030761">
            <w:pPr>
              <w:pStyle w:val="TableHeading"/>
              <w:keepLines/>
              <w:cnfStyle w:val="100000000000" w:firstRow="1" w:lastRow="0" w:firstColumn="0" w:lastColumn="0" w:oddVBand="0" w:evenVBand="0" w:oddHBand="0" w:evenHBand="0" w:firstRowFirstColumn="0" w:firstRowLastColumn="0" w:lastRowFirstColumn="0" w:lastRowLastColumn="0"/>
            </w:pPr>
            <w:r>
              <w:t>Rationale</w:t>
            </w:r>
          </w:p>
        </w:tc>
      </w:tr>
      <w:tr w:rsidR="001E67D5" w14:paraId="6132B296" w14:textId="1FE8DF39" w:rsidTr="00030761">
        <w:tc>
          <w:tcPr>
            <w:cnfStyle w:val="001000000000" w:firstRow="0" w:lastRow="0" w:firstColumn="1" w:lastColumn="0" w:oddVBand="0" w:evenVBand="0" w:oddHBand="0" w:evenHBand="0" w:firstRowFirstColumn="0" w:firstRowLastColumn="0" w:lastRowFirstColumn="0" w:lastRowLastColumn="0"/>
            <w:tcW w:w="1802" w:type="pct"/>
          </w:tcPr>
          <w:p w14:paraId="57E8DF8F" w14:textId="408CAE52" w:rsidR="001E67D5" w:rsidRPr="00030761" w:rsidRDefault="007C7E24" w:rsidP="00030761">
            <w:pPr>
              <w:pStyle w:val="BodyText"/>
              <w:keepLines/>
            </w:pPr>
            <w:r>
              <w:t>Introduce an all hazards critical infrastructure risk management program</w:t>
            </w:r>
            <w:r w:rsidR="001E67D5">
              <w:t xml:space="preserve"> </w:t>
            </w:r>
          </w:p>
        </w:tc>
        <w:tc>
          <w:tcPr>
            <w:tcW w:w="789" w:type="pct"/>
          </w:tcPr>
          <w:p w14:paraId="1BD54E8A" w14:textId="559DE46E" w:rsidR="001E67D5" w:rsidRDefault="001E67D5" w:rsidP="00030761">
            <w:pPr>
              <w:pStyle w:val="BodyText"/>
              <w:keepLines/>
              <w:cnfStyle w:val="000000000000" w:firstRow="0" w:lastRow="0" w:firstColumn="0" w:lastColumn="0" w:oddVBand="0" w:evenVBand="0" w:oddHBand="0" w:evenHBand="0" w:firstRowFirstColumn="0" w:firstRowLastColumn="0" w:lastRowFirstColumn="0" w:lastRowLastColumn="0"/>
            </w:pPr>
            <w:r>
              <w:t>Moderate</w:t>
            </w:r>
          </w:p>
        </w:tc>
        <w:tc>
          <w:tcPr>
            <w:tcW w:w="2409" w:type="pct"/>
          </w:tcPr>
          <w:p w14:paraId="43C849CD" w14:textId="20CFBDCA" w:rsidR="001E67D5" w:rsidRDefault="001E67D5" w:rsidP="007C7E24">
            <w:pPr>
              <w:pStyle w:val="BodyText"/>
              <w:keepLines/>
              <w:cnfStyle w:val="000000000000" w:firstRow="0" w:lastRow="0" w:firstColumn="0" w:lastColumn="0" w:oddVBand="0" w:evenVBand="0" w:oddHBand="0" w:evenHBand="0" w:firstRowFirstColumn="0" w:firstRowLastColumn="0" w:lastRowFirstColumn="0" w:lastRowLastColumn="0"/>
            </w:pPr>
            <w:r w:rsidRPr="16AFC5D1">
              <w:t xml:space="preserve">The </w:t>
            </w:r>
            <w:r w:rsidR="007C7E24">
              <w:t xml:space="preserve">introduction of the critical infrastructure risk management program </w:t>
            </w:r>
            <w:r w:rsidRPr="16AFC5D1">
              <w:t>would require industry to uplift current practices to ensure compliance with the SOCI Act.</w:t>
            </w:r>
            <w:r w:rsidR="007C7E24">
              <w:t xml:space="preserve"> Existing telecommunications security requirements already require risk mitigation, particularly against sabotage and espionage and cyber security. The CIRMP is an all-hazards obligation, so some uplift is still required. It is therefore</w:t>
            </w:r>
            <w:r w:rsidRPr="16AFC5D1">
              <w:t xml:space="preserve"> </w:t>
            </w:r>
            <w:r w:rsidR="009E51F1">
              <w:t>assesse</w:t>
            </w:r>
            <w:r w:rsidRPr="16AFC5D1">
              <w:t>d that this</w:t>
            </w:r>
            <w:r w:rsidR="009E51F1">
              <w:t xml:space="preserve"> broader obligation</w:t>
            </w:r>
            <w:r w:rsidRPr="16AFC5D1">
              <w:t xml:space="preserve"> would have a moderate impact to industry.</w:t>
            </w:r>
          </w:p>
        </w:tc>
      </w:tr>
      <w:tr w:rsidR="001E67D5" w14:paraId="2437B437" w14:textId="050840D7" w:rsidTr="00030761">
        <w:tc>
          <w:tcPr>
            <w:cnfStyle w:val="001000000000" w:firstRow="0" w:lastRow="0" w:firstColumn="1" w:lastColumn="0" w:oddVBand="0" w:evenVBand="0" w:oddHBand="0" w:evenHBand="0" w:firstRowFirstColumn="0" w:firstRowLastColumn="0" w:lastRowFirstColumn="0" w:lastRowLastColumn="0"/>
            <w:tcW w:w="1802" w:type="pct"/>
          </w:tcPr>
          <w:p w14:paraId="70FA1602" w14:textId="5ACF8713" w:rsidR="001E67D5" w:rsidRPr="00030761" w:rsidRDefault="001E67D5" w:rsidP="00B17A6F">
            <w:pPr>
              <w:pStyle w:val="BodyText"/>
              <w:keepLines/>
            </w:pPr>
            <w:r>
              <w:t>Addition of new reporting requirements to ensure compliance with the amended regulations</w:t>
            </w:r>
            <w:r w:rsidR="00B17A6F">
              <w:t>.</w:t>
            </w:r>
          </w:p>
        </w:tc>
        <w:tc>
          <w:tcPr>
            <w:tcW w:w="789" w:type="pct"/>
          </w:tcPr>
          <w:p w14:paraId="452B2BAF" w14:textId="4A90BF34" w:rsidR="001E67D5" w:rsidRDefault="001E67D5" w:rsidP="00030761">
            <w:pPr>
              <w:pStyle w:val="BodyText"/>
              <w:keepLines/>
              <w:cnfStyle w:val="000000000000" w:firstRow="0" w:lastRow="0" w:firstColumn="0" w:lastColumn="0" w:oddVBand="0" w:evenVBand="0" w:oddHBand="0" w:evenHBand="0" w:firstRowFirstColumn="0" w:firstRowLastColumn="0" w:lastRowFirstColumn="0" w:lastRowLastColumn="0"/>
            </w:pPr>
            <w:r>
              <w:t>Low</w:t>
            </w:r>
          </w:p>
        </w:tc>
        <w:tc>
          <w:tcPr>
            <w:tcW w:w="2409" w:type="pct"/>
          </w:tcPr>
          <w:p w14:paraId="28AC2E95" w14:textId="6EAF0467" w:rsidR="001E67D5" w:rsidRDefault="001E67D5" w:rsidP="007C7E24">
            <w:pPr>
              <w:pStyle w:val="BodyText"/>
              <w:keepLines/>
              <w:cnfStyle w:val="000000000000" w:firstRow="0" w:lastRow="0" w:firstColumn="0" w:lastColumn="0" w:oddVBand="0" w:evenVBand="0" w:oddHBand="0" w:evenHBand="0" w:firstRowFirstColumn="0" w:firstRowLastColumn="0" w:lastRowFirstColumn="0" w:lastRowLastColumn="0"/>
            </w:pPr>
            <w:r w:rsidRPr="16AFC5D1">
              <w:t xml:space="preserve">This change would require industry participants to </w:t>
            </w:r>
            <w:r w:rsidR="007C7E24">
              <w:t xml:space="preserve">produce a board or equivalent attested </w:t>
            </w:r>
            <w:r w:rsidRPr="16AFC5D1">
              <w:t>report annually on the</w:t>
            </w:r>
            <w:r w:rsidR="007C7E24">
              <w:t>ir written CIRMP</w:t>
            </w:r>
            <w:r w:rsidRPr="16AFC5D1">
              <w:t>. Noting the frequency</w:t>
            </w:r>
            <w:r w:rsidR="007C7E24">
              <w:t xml:space="preserve"> of this </w:t>
            </w:r>
            <w:r w:rsidR="00335238">
              <w:t xml:space="preserve">and that most (or all) affected entities will already have </w:t>
            </w:r>
            <w:r w:rsidR="00E45071">
              <w:t xml:space="preserve">significant risk management </w:t>
            </w:r>
            <w:r w:rsidR="007C7E24">
              <w:t>activities</w:t>
            </w:r>
            <w:r w:rsidR="00E45071">
              <w:t xml:space="preserve"> in place</w:t>
            </w:r>
            <w:r w:rsidRPr="16AFC5D1">
              <w:t xml:space="preserve">, this change has been </w:t>
            </w:r>
            <w:r w:rsidR="00DC1715">
              <w:t>assessed as having a low impact</w:t>
            </w:r>
            <w:r w:rsidRPr="16AFC5D1">
              <w:t>.</w:t>
            </w:r>
          </w:p>
        </w:tc>
      </w:tr>
    </w:tbl>
    <w:p w14:paraId="6C1816F7" w14:textId="77777777" w:rsidR="0024236B" w:rsidRDefault="0024236B" w:rsidP="00F82E47">
      <w:pPr>
        <w:rPr>
          <w:rFonts w:ascii="Calibri" w:hAnsi="Calibri" w:cs="Calibri"/>
          <w:b/>
        </w:rPr>
      </w:pPr>
    </w:p>
    <w:p w14:paraId="250B04E0" w14:textId="34592A75" w:rsidR="0039234F" w:rsidRDefault="0039234F" w:rsidP="00F82E47">
      <w:pPr>
        <w:rPr>
          <w:rFonts w:ascii="Arial" w:hAnsi="Arial" w:cs="Arial"/>
          <w:sz w:val="20"/>
          <w:szCs w:val="20"/>
        </w:rPr>
      </w:pPr>
      <w:r>
        <w:rPr>
          <w:rFonts w:ascii="Arial" w:hAnsi="Arial" w:cs="Arial"/>
          <w:sz w:val="20"/>
          <w:szCs w:val="20"/>
        </w:rPr>
        <w:t xml:space="preserve">Based on the above assessment, </w:t>
      </w:r>
      <w:r w:rsidR="00DB3F41">
        <w:rPr>
          <w:rFonts w:ascii="Arial" w:hAnsi="Arial" w:cs="Arial"/>
          <w:sz w:val="20"/>
          <w:szCs w:val="20"/>
        </w:rPr>
        <w:t>i</w:t>
      </w:r>
      <w:r w:rsidR="00DB3F41" w:rsidRPr="5E142495">
        <w:rPr>
          <w:rFonts w:ascii="Arial" w:hAnsi="Arial" w:cs="Arial"/>
          <w:sz w:val="20"/>
          <w:szCs w:val="20"/>
        </w:rPr>
        <w:t xml:space="preserve">t is estimated that the cost to implement the regulatory changes for </w:t>
      </w:r>
      <w:r w:rsidR="007C7E24">
        <w:rPr>
          <w:rFonts w:ascii="Arial" w:hAnsi="Arial" w:cs="Arial"/>
          <w:sz w:val="20"/>
          <w:szCs w:val="20"/>
        </w:rPr>
        <w:t xml:space="preserve">critical </w:t>
      </w:r>
      <w:r w:rsidR="00DB3F41" w:rsidRPr="5E142495">
        <w:rPr>
          <w:rFonts w:ascii="Arial" w:hAnsi="Arial" w:cs="Arial"/>
          <w:sz w:val="20"/>
          <w:szCs w:val="20"/>
        </w:rPr>
        <w:t>telecommunications</w:t>
      </w:r>
      <w:r w:rsidR="0086124A">
        <w:rPr>
          <w:rFonts w:ascii="Arial" w:hAnsi="Arial" w:cs="Arial"/>
          <w:sz w:val="20"/>
          <w:szCs w:val="20"/>
        </w:rPr>
        <w:t xml:space="preserve"> </w:t>
      </w:r>
      <w:r w:rsidR="00DB3F41" w:rsidRPr="5E142495">
        <w:rPr>
          <w:rFonts w:ascii="Arial" w:hAnsi="Arial" w:cs="Arial"/>
          <w:sz w:val="20"/>
          <w:szCs w:val="20"/>
        </w:rPr>
        <w:t xml:space="preserve">assets would </w:t>
      </w:r>
      <w:r w:rsidR="00DB3F41">
        <w:rPr>
          <w:rFonts w:ascii="Arial" w:hAnsi="Arial" w:cs="Arial"/>
          <w:sz w:val="20"/>
          <w:szCs w:val="20"/>
        </w:rPr>
        <w:t>not be more than, and is likely to be less than,</w:t>
      </w:r>
      <w:r w:rsidR="00DB3F41" w:rsidRPr="5E142495">
        <w:rPr>
          <w:rFonts w:ascii="Arial" w:hAnsi="Arial" w:cs="Arial"/>
          <w:sz w:val="20"/>
          <w:szCs w:val="20"/>
        </w:rPr>
        <w:t xml:space="preserve"> that of the regulatory changes</w:t>
      </w:r>
      <w:r w:rsidR="00DB3F41">
        <w:rPr>
          <w:rFonts w:ascii="Arial" w:hAnsi="Arial" w:cs="Arial"/>
          <w:sz w:val="20"/>
          <w:szCs w:val="20"/>
        </w:rPr>
        <w:t xml:space="preserve"> implemented for other critical infrastructure assets (and</w:t>
      </w:r>
      <w:r w:rsidR="00DB3F41" w:rsidRPr="5E142495">
        <w:rPr>
          <w:rFonts w:ascii="Arial" w:hAnsi="Arial" w:cs="Arial"/>
          <w:sz w:val="20"/>
          <w:szCs w:val="20"/>
        </w:rPr>
        <w:t xml:space="preserve"> </w:t>
      </w:r>
      <w:r w:rsidR="00DB3F41">
        <w:rPr>
          <w:rFonts w:ascii="Arial" w:hAnsi="Arial" w:cs="Arial"/>
          <w:sz w:val="20"/>
          <w:szCs w:val="20"/>
        </w:rPr>
        <w:t>which were examined</w:t>
      </w:r>
      <w:r w:rsidR="00DB3F41" w:rsidRPr="5E142495">
        <w:rPr>
          <w:rFonts w:ascii="Arial" w:hAnsi="Arial" w:cs="Arial"/>
          <w:sz w:val="20"/>
          <w:szCs w:val="20"/>
        </w:rPr>
        <w:t xml:space="preserve"> </w:t>
      </w:r>
      <w:r w:rsidR="00DB3F41">
        <w:rPr>
          <w:rFonts w:ascii="Arial" w:hAnsi="Arial" w:cs="Arial"/>
          <w:sz w:val="20"/>
          <w:szCs w:val="20"/>
        </w:rPr>
        <w:t>in</w:t>
      </w:r>
      <w:r w:rsidR="00DB3F41" w:rsidRPr="5E142495">
        <w:rPr>
          <w:rFonts w:ascii="Arial" w:hAnsi="Arial" w:cs="Arial"/>
          <w:sz w:val="20"/>
          <w:szCs w:val="20"/>
        </w:rPr>
        <w:t xml:space="preserve"> the</w:t>
      </w:r>
      <w:r w:rsidR="00DB3F41">
        <w:rPr>
          <w:rFonts w:ascii="Arial" w:hAnsi="Arial" w:cs="Arial"/>
          <w:sz w:val="20"/>
          <w:szCs w:val="20"/>
        </w:rPr>
        <w:t xml:space="preserve"> 2022</w:t>
      </w:r>
      <w:r w:rsidR="00DB3F41" w:rsidRPr="5E142495">
        <w:rPr>
          <w:rFonts w:ascii="Arial" w:hAnsi="Arial" w:cs="Arial"/>
          <w:sz w:val="20"/>
          <w:szCs w:val="20"/>
        </w:rPr>
        <w:t xml:space="preserve"> SOCI </w:t>
      </w:r>
      <w:r w:rsidR="00DB3F41" w:rsidRPr="16AFC5D1">
        <w:rPr>
          <w:rFonts w:ascii="Arial" w:hAnsi="Arial" w:cs="Arial"/>
          <w:sz w:val="20"/>
          <w:szCs w:val="20"/>
        </w:rPr>
        <w:t>RIS</w:t>
      </w:r>
      <w:r w:rsidR="00DB3F41">
        <w:rPr>
          <w:rFonts w:ascii="Arial" w:hAnsi="Arial" w:cs="Arial"/>
          <w:sz w:val="20"/>
          <w:szCs w:val="20"/>
        </w:rPr>
        <w:t>)</w:t>
      </w:r>
      <w:r w:rsidR="00DB3F41" w:rsidRPr="16AFC5D1">
        <w:rPr>
          <w:rFonts w:ascii="Arial" w:hAnsi="Arial" w:cs="Arial"/>
          <w:sz w:val="20"/>
          <w:szCs w:val="20"/>
        </w:rPr>
        <w:t>.</w:t>
      </w:r>
      <w:r w:rsidR="0086124A">
        <w:rPr>
          <w:rFonts w:ascii="Arial" w:hAnsi="Arial" w:cs="Arial"/>
          <w:sz w:val="20"/>
          <w:szCs w:val="20"/>
        </w:rPr>
        <w:t xml:space="preserve"> Given the existing regulatory framework</w:t>
      </w:r>
      <w:r w:rsidR="0022639D">
        <w:rPr>
          <w:rFonts w:ascii="Arial" w:hAnsi="Arial" w:cs="Arial"/>
          <w:sz w:val="20"/>
          <w:szCs w:val="20"/>
        </w:rPr>
        <w:t xml:space="preserve"> established by</w:t>
      </w:r>
      <w:r w:rsidR="00E05125">
        <w:rPr>
          <w:rFonts w:ascii="Arial" w:hAnsi="Arial" w:cs="Arial"/>
          <w:sz w:val="20"/>
          <w:szCs w:val="20"/>
        </w:rPr>
        <w:t xml:space="preserve"> the Tel Act</w:t>
      </w:r>
      <w:r w:rsidR="00D94B03">
        <w:rPr>
          <w:rFonts w:ascii="Arial" w:hAnsi="Arial" w:cs="Arial"/>
          <w:sz w:val="20"/>
          <w:szCs w:val="20"/>
        </w:rPr>
        <w:t xml:space="preserve">, owners of </w:t>
      </w:r>
      <w:r w:rsidR="007C7E24">
        <w:rPr>
          <w:rFonts w:ascii="Arial" w:hAnsi="Arial" w:cs="Arial"/>
          <w:sz w:val="20"/>
          <w:szCs w:val="20"/>
        </w:rPr>
        <w:t>critical telecommunications assets</w:t>
      </w:r>
      <w:r w:rsidR="00A75E95">
        <w:rPr>
          <w:rFonts w:ascii="Arial" w:hAnsi="Arial" w:cs="Arial"/>
          <w:sz w:val="20"/>
          <w:szCs w:val="20"/>
        </w:rPr>
        <w:t xml:space="preserve"> </w:t>
      </w:r>
      <w:r w:rsidR="00D94B03">
        <w:rPr>
          <w:rFonts w:ascii="Arial" w:hAnsi="Arial" w:cs="Arial"/>
          <w:sz w:val="20"/>
          <w:szCs w:val="20"/>
        </w:rPr>
        <w:t xml:space="preserve">are already </w:t>
      </w:r>
      <w:r w:rsidR="00A75E95">
        <w:rPr>
          <w:rFonts w:ascii="Arial" w:hAnsi="Arial" w:cs="Arial"/>
          <w:sz w:val="20"/>
          <w:szCs w:val="20"/>
        </w:rPr>
        <w:t xml:space="preserve">subject to </w:t>
      </w:r>
      <w:r w:rsidR="007C7E24">
        <w:rPr>
          <w:rFonts w:ascii="Arial" w:hAnsi="Arial" w:cs="Arial"/>
          <w:sz w:val="20"/>
          <w:szCs w:val="20"/>
        </w:rPr>
        <w:t xml:space="preserve">security </w:t>
      </w:r>
      <w:r w:rsidR="00A75E95">
        <w:rPr>
          <w:rFonts w:ascii="Arial" w:hAnsi="Arial" w:cs="Arial"/>
          <w:sz w:val="20"/>
          <w:szCs w:val="20"/>
        </w:rPr>
        <w:t>obligations</w:t>
      </w:r>
      <w:r w:rsidR="00061287">
        <w:rPr>
          <w:rFonts w:ascii="Arial" w:hAnsi="Arial" w:cs="Arial"/>
          <w:sz w:val="20"/>
          <w:szCs w:val="20"/>
        </w:rPr>
        <w:t xml:space="preserve"> </w:t>
      </w:r>
      <w:r w:rsidR="00E05125">
        <w:rPr>
          <w:rFonts w:ascii="Arial" w:hAnsi="Arial" w:cs="Arial"/>
          <w:sz w:val="20"/>
          <w:szCs w:val="20"/>
        </w:rPr>
        <w:t>involving</w:t>
      </w:r>
      <w:r w:rsidR="007C7E24">
        <w:rPr>
          <w:rFonts w:ascii="Arial" w:hAnsi="Arial" w:cs="Arial"/>
          <w:sz w:val="20"/>
          <w:szCs w:val="20"/>
        </w:rPr>
        <w:t xml:space="preserve"> risk management and reporting requirements</w:t>
      </w:r>
      <w:r w:rsidR="00BF264A">
        <w:rPr>
          <w:rFonts w:ascii="Arial" w:hAnsi="Arial" w:cs="Arial"/>
          <w:sz w:val="20"/>
          <w:szCs w:val="20"/>
        </w:rPr>
        <w:t xml:space="preserve">. While the SOCI Act </w:t>
      </w:r>
      <w:r w:rsidR="007C7E24">
        <w:rPr>
          <w:rFonts w:ascii="Arial" w:hAnsi="Arial" w:cs="Arial"/>
          <w:sz w:val="20"/>
          <w:szCs w:val="20"/>
        </w:rPr>
        <w:t xml:space="preserve">integrates and uplifts </w:t>
      </w:r>
      <w:r w:rsidR="007F08C1">
        <w:rPr>
          <w:rFonts w:ascii="Arial" w:hAnsi="Arial" w:cs="Arial"/>
          <w:sz w:val="20"/>
          <w:szCs w:val="20"/>
        </w:rPr>
        <w:t xml:space="preserve">these </w:t>
      </w:r>
      <w:r w:rsidR="0081454B">
        <w:rPr>
          <w:rFonts w:ascii="Arial" w:hAnsi="Arial" w:cs="Arial"/>
          <w:sz w:val="20"/>
          <w:szCs w:val="20"/>
        </w:rPr>
        <w:t>obligations</w:t>
      </w:r>
      <w:r w:rsidR="007C7E24">
        <w:rPr>
          <w:rFonts w:ascii="Arial" w:hAnsi="Arial" w:cs="Arial"/>
          <w:sz w:val="20"/>
          <w:szCs w:val="20"/>
        </w:rPr>
        <w:t xml:space="preserve"> to </w:t>
      </w:r>
      <w:r w:rsidR="00E05125">
        <w:rPr>
          <w:rFonts w:ascii="Arial" w:hAnsi="Arial" w:cs="Arial"/>
          <w:sz w:val="20"/>
          <w:szCs w:val="20"/>
        </w:rPr>
        <w:t xml:space="preserve">an </w:t>
      </w:r>
      <w:r w:rsidR="007C7E24">
        <w:rPr>
          <w:rFonts w:ascii="Arial" w:hAnsi="Arial" w:cs="Arial"/>
          <w:sz w:val="20"/>
          <w:szCs w:val="20"/>
        </w:rPr>
        <w:t>all-hazards</w:t>
      </w:r>
      <w:r w:rsidR="00E05125">
        <w:rPr>
          <w:rFonts w:ascii="Arial" w:hAnsi="Arial" w:cs="Arial"/>
          <w:sz w:val="20"/>
          <w:szCs w:val="20"/>
        </w:rPr>
        <w:t xml:space="preserve"> framework</w:t>
      </w:r>
      <w:r w:rsidR="0081454B">
        <w:rPr>
          <w:rFonts w:ascii="Arial" w:hAnsi="Arial" w:cs="Arial"/>
          <w:sz w:val="20"/>
          <w:szCs w:val="20"/>
        </w:rPr>
        <w:t xml:space="preserve">, it is assessed that the cost impact will be </w:t>
      </w:r>
      <w:r w:rsidR="0001513E">
        <w:rPr>
          <w:rFonts w:ascii="Arial" w:hAnsi="Arial" w:cs="Arial"/>
          <w:sz w:val="20"/>
          <w:szCs w:val="20"/>
        </w:rPr>
        <w:t xml:space="preserve">lower than for other classes of critical infrastructure </w:t>
      </w:r>
      <w:r w:rsidR="001E5211">
        <w:rPr>
          <w:rFonts w:ascii="Arial" w:hAnsi="Arial" w:cs="Arial"/>
          <w:sz w:val="20"/>
          <w:szCs w:val="20"/>
        </w:rPr>
        <w:t xml:space="preserve">asset </w:t>
      </w:r>
      <w:r w:rsidR="0001513E">
        <w:rPr>
          <w:rFonts w:ascii="Arial" w:hAnsi="Arial" w:cs="Arial"/>
          <w:sz w:val="20"/>
          <w:szCs w:val="20"/>
        </w:rPr>
        <w:t xml:space="preserve">because </w:t>
      </w:r>
      <w:r w:rsidR="00DD550D">
        <w:rPr>
          <w:rFonts w:ascii="Arial" w:hAnsi="Arial" w:cs="Arial"/>
          <w:sz w:val="20"/>
          <w:szCs w:val="20"/>
        </w:rPr>
        <w:t xml:space="preserve">the processes, capabilities, governance and systems required to comply with the new </w:t>
      </w:r>
      <w:r w:rsidR="006E7427">
        <w:rPr>
          <w:rFonts w:ascii="Arial" w:hAnsi="Arial" w:cs="Arial"/>
          <w:sz w:val="20"/>
          <w:szCs w:val="20"/>
        </w:rPr>
        <w:t xml:space="preserve">obligations will </w:t>
      </w:r>
      <w:r w:rsidR="00AA2359">
        <w:rPr>
          <w:rFonts w:ascii="Arial" w:hAnsi="Arial" w:cs="Arial"/>
          <w:sz w:val="20"/>
          <w:szCs w:val="20"/>
        </w:rPr>
        <w:t xml:space="preserve">only require uplift rather than establishment. </w:t>
      </w:r>
      <w:r w:rsidR="00AA1CC9">
        <w:rPr>
          <w:rFonts w:ascii="Arial" w:hAnsi="Arial" w:cs="Arial"/>
          <w:sz w:val="20"/>
          <w:szCs w:val="20"/>
        </w:rPr>
        <w:t>For most entities this will result in a lower cost impact</w:t>
      </w:r>
      <w:r w:rsidR="00F60357">
        <w:rPr>
          <w:rFonts w:ascii="Arial" w:hAnsi="Arial" w:cs="Arial"/>
          <w:sz w:val="20"/>
          <w:szCs w:val="20"/>
        </w:rPr>
        <w:t xml:space="preserve"> relative to the estimated costs presented in the 2022 SOCI RIS</w:t>
      </w:r>
      <w:r w:rsidR="00AA1CC9">
        <w:rPr>
          <w:rFonts w:ascii="Arial" w:hAnsi="Arial" w:cs="Arial"/>
          <w:sz w:val="20"/>
          <w:szCs w:val="20"/>
        </w:rPr>
        <w:t>.</w:t>
      </w:r>
    </w:p>
    <w:p w14:paraId="76EFFE99" w14:textId="42C8E13D" w:rsidR="00F82E47" w:rsidRDefault="004C16BE" w:rsidP="00F82E47">
      <w:pPr>
        <w:rPr>
          <w:rFonts w:ascii="Arial" w:hAnsi="Arial" w:cs="Arial"/>
          <w:sz w:val="20"/>
          <w:szCs w:val="20"/>
        </w:rPr>
      </w:pPr>
      <w:r>
        <w:rPr>
          <w:rFonts w:ascii="Arial" w:hAnsi="Arial" w:cs="Arial"/>
          <w:sz w:val="20"/>
          <w:szCs w:val="20"/>
        </w:rPr>
        <w:t>In this</w:t>
      </w:r>
      <w:r w:rsidR="00AA1CC9">
        <w:rPr>
          <w:rFonts w:ascii="Arial" w:hAnsi="Arial" w:cs="Arial"/>
          <w:sz w:val="20"/>
          <w:szCs w:val="20"/>
        </w:rPr>
        <w:t xml:space="preserve"> context, a</w:t>
      </w:r>
      <w:r w:rsidR="00F82E47">
        <w:rPr>
          <w:rFonts w:ascii="Arial" w:hAnsi="Arial" w:cs="Arial"/>
          <w:sz w:val="20"/>
          <w:szCs w:val="20"/>
        </w:rPr>
        <w:t xml:space="preserve"> summary of the </w:t>
      </w:r>
      <w:r>
        <w:rPr>
          <w:rFonts w:ascii="Arial" w:hAnsi="Arial" w:cs="Arial"/>
          <w:sz w:val="20"/>
          <w:szCs w:val="20"/>
        </w:rPr>
        <w:t xml:space="preserve">cost impact </w:t>
      </w:r>
      <w:r w:rsidR="00F82E47">
        <w:rPr>
          <w:rFonts w:ascii="Arial" w:hAnsi="Arial" w:cs="Arial"/>
          <w:sz w:val="20"/>
          <w:szCs w:val="20"/>
        </w:rPr>
        <w:t>data collected during the 2021-22 consultation period</w:t>
      </w:r>
      <w:r w:rsidR="00F82E47">
        <w:rPr>
          <w:rStyle w:val="FootnoteReference"/>
          <w:rFonts w:ascii="Arial" w:hAnsi="Arial" w:cs="Arial"/>
          <w:sz w:val="20"/>
          <w:szCs w:val="20"/>
        </w:rPr>
        <w:footnoteReference w:id="14"/>
      </w:r>
      <w:r w:rsidR="00F82E47">
        <w:rPr>
          <w:rFonts w:ascii="Arial" w:hAnsi="Arial" w:cs="Arial"/>
          <w:sz w:val="20"/>
          <w:szCs w:val="20"/>
        </w:rPr>
        <w:t xml:space="preserve"> is </w:t>
      </w:r>
      <w:r>
        <w:rPr>
          <w:rFonts w:ascii="Arial" w:hAnsi="Arial" w:cs="Arial"/>
          <w:sz w:val="20"/>
          <w:szCs w:val="20"/>
        </w:rPr>
        <w:t>provided</w:t>
      </w:r>
      <w:r w:rsidR="00F82E47">
        <w:rPr>
          <w:rFonts w:ascii="Arial" w:hAnsi="Arial" w:cs="Arial"/>
          <w:sz w:val="20"/>
          <w:szCs w:val="20"/>
        </w:rPr>
        <w:t xml:space="preserve"> below.</w:t>
      </w:r>
    </w:p>
    <w:p w14:paraId="126E8272" w14:textId="6A7E5BCC" w:rsidR="002B05FC" w:rsidRPr="00030761" w:rsidRDefault="00252112" w:rsidP="00030761">
      <w:pPr>
        <w:pStyle w:val="Caption"/>
        <w:rPr>
          <w:rFonts w:ascii="Calibri" w:hAnsi="Calibri" w:cs="Calibri"/>
        </w:rPr>
      </w:pPr>
      <w:r w:rsidRPr="00FE01FC">
        <w:rPr>
          <w:rFonts w:ascii="Calibri" w:hAnsi="Calibri" w:cs="Calibri"/>
          <w:b w:val="0"/>
        </w:rPr>
        <w:t xml:space="preserve">Regulatory cost per entity from 2021-22 consultation period (indexed to </w:t>
      </w:r>
      <w:r w:rsidR="003D51F9">
        <w:rPr>
          <w:rFonts w:ascii="Calibri" w:hAnsi="Calibri" w:cs="Calibri"/>
          <w:b w:val="0"/>
        </w:rPr>
        <w:t>December</w:t>
      </w:r>
      <w:r w:rsidRPr="00FE01FC">
        <w:rPr>
          <w:rFonts w:ascii="Calibri" w:hAnsi="Calibri" w:cs="Calibri"/>
          <w:b w:val="0"/>
        </w:rPr>
        <w:t xml:space="preserve"> 2024</w:t>
      </w:r>
      <w:r>
        <w:rPr>
          <w:rFonts w:ascii="Calibri" w:hAnsi="Calibri" w:cs="Calibri"/>
          <w:b w:val="0"/>
        </w:rPr>
        <w:t>)</w:t>
      </w:r>
      <w:bookmarkEnd w:id="1"/>
    </w:p>
    <w:tbl>
      <w:tblPr>
        <w:tblW w:w="9037" w:type="dxa"/>
        <w:tblLook w:val="04A0" w:firstRow="1" w:lastRow="0" w:firstColumn="1" w:lastColumn="0" w:noHBand="0" w:noVBand="1"/>
      </w:tblPr>
      <w:tblGrid>
        <w:gridCol w:w="3257"/>
        <w:gridCol w:w="2889"/>
        <w:gridCol w:w="2891"/>
      </w:tblGrid>
      <w:tr w:rsidR="003D51F9" w:rsidRPr="003D51F9" w14:paraId="2041CBC3" w14:textId="77777777" w:rsidTr="00030761">
        <w:trPr>
          <w:trHeight w:val="426"/>
        </w:trPr>
        <w:tc>
          <w:tcPr>
            <w:tcW w:w="3257" w:type="dxa"/>
            <w:vMerge w:val="restart"/>
            <w:tcBorders>
              <w:top w:val="nil"/>
              <w:left w:val="nil"/>
              <w:bottom w:val="single" w:sz="8" w:space="0" w:color="BFBFBF"/>
              <w:right w:val="nil"/>
            </w:tcBorders>
            <w:shd w:val="clear" w:color="000000" w:fill="284B98"/>
            <w:vAlign w:val="center"/>
            <w:hideMark/>
          </w:tcPr>
          <w:p w14:paraId="28AA41BA" w14:textId="77777777" w:rsidR="003D51F9" w:rsidRPr="003D51F9" w:rsidRDefault="003D51F9" w:rsidP="003D51F9">
            <w:pPr>
              <w:spacing w:after="0" w:line="240" w:lineRule="auto"/>
              <w:jc w:val="center"/>
              <w:rPr>
                <w:rFonts w:ascii="Arial" w:eastAsia="Times New Roman" w:hAnsi="Arial" w:cs="Arial"/>
                <w:b/>
                <w:bCs/>
                <w:color w:val="FFFFFF"/>
                <w:sz w:val="20"/>
                <w:szCs w:val="20"/>
                <w:lang w:eastAsia="en-AU"/>
              </w:rPr>
            </w:pPr>
            <w:r w:rsidRPr="003D51F9">
              <w:rPr>
                <w:rFonts w:ascii="Arial" w:eastAsia="Times New Roman" w:hAnsi="Arial" w:cs="Arial"/>
                <w:b/>
                <w:bCs/>
                <w:color w:val="FFFFFF"/>
                <w:sz w:val="20"/>
                <w:szCs w:val="20"/>
                <w:lang w:eastAsia="en-AU"/>
              </w:rPr>
              <w:t>Critical infrastructure asset</w:t>
            </w:r>
          </w:p>
        </w:tc>
        <w:tc>
          <w:tcPr>
            <w:tcW w:w="5780" w:type="dxa"/>
            <w:gridSpan w:val="2"/>
            <w:tcBorders>
              <w:top w:val="nil"/>
              <w:left w:val="nil"/>
              <w:bottom w:val="single" w:sz="8" w:space="0" w:color="BFBFBF"/>
              <w:right w:val="nil"/>
            </w:tcBorders>
            <w:shd w:val="clear" w:color="000000" w:fill="284B98"/>
            <w:vAlign w:val="center"/>
            <w:hideMark/>
          </w:tcPr>
          <w:p w14:paraId="26A843E7" w14:textId="77777777" w:rsidR="003D51F9" w:rsidRPr="003D51F9" w:rsidRDefault="003D51F9" w:rsidP="003D51F9">
            <w:pPr>
              <w:spacing w:after="0" w:line="240" w:lineRule="auto"/>
              <w:jc w:val="center"/>
              <w:rPr>
                <w:rFonts w:ascii="Arial" w:eastAsia="Times New Roman" w:hAnsi="Arial" w:cs="Arial"/>
                <w:b/>
                <w:bCs/>
                <w:color w:val="FFFFFF"/>
                <w:sz w:val="20"/>
                <w:szCs w:val="20"/>
                <w:lang w:eastAsia="en-AU"/>
              </w:rPr>
            </w:pPr>
            <w:r w:rsidRPr="003D51F9">
              <w:rPr>
                <w:rFonts w:ascii="Arial" w:eastAsia="Times New Roman" w:hAnsi="Arial" w:cs="Arial"/>
                <w:b/>
                <w:bCs/>
                <w:color w:val="FFFFFF"/>
                <w:sz w:val="20"/>
                <w:szCs w:val="20"/>
                <w:lang w:eastAsia="en-AU"/>
              </w:rPr>
              <w:t>Costs ($ million)</w:t>
            </w:r>
          </w:p>
        </w:tc>
      </w:tr>
      <w:tr w:rsidR="003D51F9" w:rsidRPr="003D51F9" w14:paraId="505C8252" w14:textId="77777777" w:rsidTr="00030761">
        <w:trPr>
          <w:trHeight w:val="426"/>
        </w:trPr>
        <w:tc>
          <w:tcPr>
            <w:tcW w:w="3257" w:type="dxa"/>
            <w:vMerge/>
            <w:tcBorders>
              <w:top w:val="nil"/>
              <w:left w:val="nil"/>
              <w:bottom w:val="single" w:sz="8" w:space="0" w:color="BFBFBF"/>
              <w:right w:val="nil"/>
            </w:tcBorders>
            <w:vAlign w:val="center"/>
            <w:hideMark/>
          </w:tcPr>
          <w:p w14:paraId="1732BF53" w14:textId="77777777" w:rsidR="003D51F9" w:rsidRPr="003D51F9" w:rsidRDefault="003D51F9" w:rsidP="003D51F9">
            <w:pPr>
              <w:spacing w:after="0" w:line="240" w:lineRule="auto"/>
              <w:rPr>
                <w:rFonts w:ascii="Arial" w:eastAsia="Times New Roman" w:hAnsi="Arial" w:cs="Arial"/>
                <w:b/>
                <w:bCs/>
                <w:color w:val="FFFFFF"/>
                <w:sz w:val="20"/>
                <w:szCs w:val="20"/>
                <w:lang w:eastAsia="en-AU"/>
              </w:rPr>
            </w:pPr>
          </w:p>
        </w:tc>
        <w:tc>
          <w:tcPr>
            <w:tcW w:w="2889" w:type="dxa"/>
            <w:tcBorders>
              <w:top w:val="nil"/>
              <w:left w:val="nil"/>
              <w:bottom w:val="single" w:sz="8" w:space="0" w:color="BFBFBF"/>
              <w:right w:val="nil"/>
            </w:tcBorders>
            <w:shd w:val="clear" w:color="000000" w:fill="D9E2F3"/>
            <w:vAlign w:val="center"/>
            <w:hideMark/>
          </w:tcPr>
          <w:p w14:paraId="10E29192"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Average one-off cost per entity (submissions)</w:t>
            </w:r>
          </w:p>
        </w:tc>
        <w:tc>
          <w:tcPr>
            <w:tcW w:w="2890" w:type="dxa"/>
            <w:tcBorders>
              <w:top w:val="nil"/>
              <w:left w:val="nil"/>
              <w:bottom w:val="single" w:sz="8" w:space="0" w:color="BFBFBF"/>
              <w:right w:val="nil"/>
            </w:tcBorders>
            <w:shd w:val="clear" w:color="000000" w:fill="D9E2F3"/>
            <w:vAlign w:val="center"/>
            <w:hideMark/>
          </w:tcPr>
          <w:p w14:paraId="5EF74D47"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Average annual ongoing cost per entity (submissions)</w:t>
            </w:r>
          </w:p>
        </w:tc>
      </w:tr>
      <w:tr w:rsidR="003D51F9" w:rsidRPr="003D51F9" w14:paraId="4ECF9485"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0800625A"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electricity assets</w:t>
            </w:r>
          </w:p>
        </w:tc>
        <w:tc>
          <w:tcPr>
            <w:tcW w:w="2889" w:type="dxa"/>
            <w:tcBorders>
              <w:top w:val="nil"/>
              <w:left w:val="nil"/>
              <w:bottom w:val="single" w:sz="8" w:space="0" w:color="BFBFBF"/>
              <w:right w:val="nil"/>
            </w:tcBorders>
            <w:shd w:val="clear" w:color="auto" w:fill="auto"/>
            <w:vAlign w:val="center"/>
            <w:hideMark/>
          </w:tcPr>
          <w:p w14:paraId="11C9D304"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9.3</w:t>
            </w:r>
          </w:p>
        </w:tc>
        <w:tc>
          <w:tcPr>
            <w:tcW w:w="2890" w:type="dxa"/>
            <w:tcBorders>
              <w:top w:val="nil"/>
              <w:left w:val="nil"/>
              <w:bottom w:val="single" w:sz="8" w:space="0" w:color="BFBFBF"/>
              <w:right w:val="nil"/>
            </w:tcBorders>
            <w:shd w:val="clear" w:color="auto" w:fill="auto"/>
            <w:vAlign w:val="center"/>
            <w:hideMark/>
          </w:tcPr>
          <w:p w14:paraId="06B0FC66"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4.4</w:t>
            </w:r>
          </w:p>
        </w:tc>
      </w:tr>
      <w:tr w:rsidR="003D51F9" w:rsidRPr="003D51F9" w14:paraId="313818C5"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0C818664"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gas assets</w:t>
            </w:r>
          </w:p>
        </w:tc>
        <w:tc>
          <w:tcPr>
            <w:tcW w:w="2889" w:type="dxa"/>
            <w:tcBorders>
              <w:top w:val="nil"/>
              <w:left w:val="nil"/>
              <w:bottom w:val="single" w:sz="8" w:space="0" w:color="BFBFBF"/>
              <w:right w:val="nil"/>
            </w:tcBorders>
            <w:shd w:val="clear" w:color="auto" w:fill="auto"/>
            <w:vAlign w:val="center"/>
            <w:hideMark/>
          </w:tcPr>
          <w:p w14:paraId="600D5629"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12.1</w:t>
            </w:r>
          </w:p>
        </w:tc>
        <w:tc>
          <w:tcPr>
            <w:tcW w:w="2890" w:type="dxa"/>
            <w:tcBorders>
              <w:top w:val="nil"/>
              <w:left w:val="nil"/>
              <w:bottom w:val="single" w:sz="8" w:space="0" w:color="BFBFBF"/>
              <w:right w:val="nil"/>
            </w:tcBorders>
            <w:shd w:val="clear" w:color="auto" w:fill="auto"/>
            <w:vAlign w:val="center"/>
            <w:hideMark/>
          </w:tcPr>
          <w:p w14:paraId="7AAF46B2"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2.4</w:t>
            </w:r>
          </w:p>
        </w:tc>
      </w:tr>
      <w:tr w:rsidR="003D51F9" w:rsidRPr="003D51F9" w14:paraId="466651D0"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501B0C04" w14:textId="77777777" w:rsidR="003D51F9" w:rsidRPr="003D51F9" w:rsidRDefault="003D51F9" w:rsidP="00030761">
            <w:pPr>
              <w:tabs>
                <w:tab w:val="left" w:pos="1440"/>
              </w:tabs>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water assets</w:t>
            </w:r>
          </w:p>
        </w:tc>
        <w:tc>
          <w:tcPr>
            <w:tcW w:w="2889" w:type="dxa"/>
            <w:tcBorders>
              <w:top w:val="nil"/>
              <w:left w:val="nil"/>
              <w:bottom w:val="single" w:sz="8" w:space="0" w:color="BFBFBF"/>
              <w:right w:val="nil"/>
            </w:tcBorders>
            <w:shd w:val="clear" w:color="auto" w:fill="auto"/>
            <w:vAlign w:val="center"/>
            <w:hideMark/>
          </w:tcPr>
          <w:p w14:paraId="38A8D61D"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16.5</w:t>
            </w:r>
          </w:p>
        </w:tc>
        <w:tc>
          <w:tcPr>
            <w:tcW w:w="2890" w:type="dxa"/>
            <w:tcBorders>
              <w:top w:val="nil"/>
              <w:left w:val="nil"/>
              <w:bottom w:val="single" w:sz="8" w:space="0" w:color="BFBFBF"/>
              <w:right w:val="nil"/>
            </w:tcBorders>
            <w:shd w:val="clear" w:color="auto" w:fill="auto"/>
            <w:vAlign w:val="center"/>
            <w:hideMark/>
          </w:tcPr>
          <w:p w14:paraId="402AD626"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7.0</w:t>
            </w:r>
          </w:p>
        </w:tc>
      </w:tr>
      <w:tr w:rsidR="003D51F9" w:rsidRPr="003D51F9" w14:paraId="131384A1"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5E5D6284"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data processing or storage assets</w:t>
            </w:r>
          </w:p>
        </w:tc>
        <w:tc>
          <w:tcPr>
            <w:tcW w:w="2889" w:type="dxa"/>
            <w:tcBorders>
              <w:top w:val="nil"/>
              <w:left w:val="nil"/>
              <w:bottom w:val="single" w:sz="8" w:space="0" w:color="BFBFBF"/>
              <w:right w:val="nil"/>
            </w:tcBorders>
            <w:shd w:val="clear" w:color="auto" w:fill="auto"/>
            <w:vAlign w:val="center"/>
            <w:hideMark/>
          </w:tcPr>
          <w:p w14:paraId="3F994682"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2.0</w:t>
            </w:r>
          </w:p>
        </w:tc>
        <w:tc>
          <w:tcPr>
            <w:tcW w:w="2890" w:type="dxa"/>
            <w:tcBorders>
              <w:top w:val="nil"/>
              <w:left w:val="nil"/>
              <w:bottom w:val="single" w:sz="8" w:space="0" w:color="BFBFBF"/>
              <w:right w:val="nil"/>
            </w:tcBorders>
            <w:shd w:val="clear" w:color="auto" w:fill="auto"/>
            <w:vAlign w:val="center"/>
            <w:hideMark/>
          </w:tcPr>
          <w:p w14:paraId="7632B9EC"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2.2</w:t>
            </w:r>
          </w:p>
        </w:tc>
      </w:tr>
      <w:tr w:rsidR="003D51F9" w:rsidRPr="003D51F9" w14:paraId="7772E4E5"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6ED3CB8F"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broadcasting and domain name system assets</w:t>
            </w:r>
          </w:p>
        </w:tc>
        <w:tc>
          <w:tcPr>
            <w:tcW w:w="2889" w:type="dxa"/>
            <w:tcBorders>
              <w:top w:val="nil"/>
              <w:left w:val="nil"/>
              <w:bottom w:val="single" w:sz="8" w:space="0" w:color="BFBFBF"/>
              <w:right w:val="nil"/>
            </w:tcBorders>
            <w:shd w:val="clear" w:color="auto" w:fill="auto"/>
            <w:vAlign w:val="center"/>
            <w:hideMark/>
          </w:tcPr>
          <w:p w14:paraId="4E351A32"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0.8</w:t>
            </w:r>
          </w:p>
        </w:tc>
        <w:tc>
          <w:tcPr>
            <w:tcW w:w="2890" w:type="dxa"/>
            <w:tcBorders>
              <w:top w:val="nil"/>
              <w:left w:val="nil"/>
              <w:bottom w:val="single" w:sz="8" w:space="0" w:color="BFBFBF"/>
              <w:right w:val="nil"/>
            </w:tcBorders>
            <w:shd w:val="clear" w:color="auto" w:fill="auto"/>
            <w:vAlign w:val="center"/>
            <w:hideMark/>
          </w:tcPr>
          <w:p w14:paraId="663AC3B5"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0.6</w:t>
            </w:r>
          </w:p>
        </w:tc>
      </w:tr>
      <w:tr w:rsidR="003D51F9" w:rsidRPr="003D51F9" w14:paraId="688829AE"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0DC425D9"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financial market infrastructure assets (payment systems)</w:t>
            </w:r>
          </w:p>
        </w:tc>
        <w:tc>
          <w:tcPr>
            <w:tcW w:w="2889" w:type="dxa"/>
            <w:tcBorders>
              <w:top w:val="nil"/>
              <w:left w:val="nil"/>
              <w:bottom w:val="single" w:sz="8" w:space="0" w:color="BFBFBF"/>
              <w:right w:val="nil"/>
            </w:tcBorders>
            <w:shd w:val="clear" w:color="auto" w:fill="auto"/>
            <w:vAlign w:val="center"/>
            <w:hideMark/>
          </w:tcPr>
          <w:p w14:paraId="38ECA4AA"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0.1</w:t>
            </w:r>
          </w:p>
        </w:tc>
        <w:tc>
          <w:tcPr>
            <w:tcW w:w="2890" w:type="dxa"/>
            <w:tcBorders>
              <w:top w:val="nil"/>
              <w:left w:val="nil"/>
              <w:bottom w:val="single" w:sz="8" w:space="0" w:color="BFBFBF"/>
              <w:right w:val="nil"/>
            </w:tcBorders>
            <w:shd w:val="clear" w:color="auto" w:fill="auto"/>
            <w:vAlign w:val="center"/>
            <w:hideMark/>
          </w:tcPr>
          <w:p w14:paraId="6975D563"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1.6</w:t>
            </w:r>
          </w:p>
        </w:tc>
      </w:tr>
      <w:tr w:rsidR="003D51F9" w:rsidRPr="003D51F9" w14:paraId="1F843763"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4AB3D592"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liquid fuels assets</w:t>
            </w:r>
          </w:p>
        </w:tc>
        <w:tc>
          <w:tcPr>
            <w:tcW w:w="2889" w:type="dxa"/>
            <w:tcBorders>
              <w:top w:val="nil"/>
              <w:left w:val="nil"/>
              <w:bottom w:val="single" w:sz="8" w:space="0" w:color="BFBFBF"/>
              <w:right w:val="nil"/>
            </w:tcBorders>
            <w:shd w:val="clear" w:color="auto" w:fill="auto"/>
            <w:vAlign w:val="center"/>
            <w:hideMark/>
          </w:tcPr>
          <w:p w14:paraId="70152850"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10.2</w:t>
            </w:r>
          </w:p>
        </w:tc>
        <w:tc>
          <w:tcPr>
            <w:tcW w:w="2890" w:type="dxa"/>
            <w:tcBorders>
              <w:top w:val="nil"/>
              <w:left w:val="nil"/>
              <w:bottom w:val="single" w:sz="8" w:space="0" w:color="BFBFBF"/>
              <w:right w:val="nil"/>
            </w:tcBorders>
            <w:shd w:val="clear" w:color="auto" w:fill="auto"/>
            <w:vAlign w:val="center"/>
            <w:hideMark/>
          </w:tcPr>
          <w:p w14:paraId="76B882F0"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3.0</w:t>
            </w:r>
          </w:p>
        </w:tc>
      </w:tr>
      <w:tr w:rsidR="003D51F9" w:rsidRPr="003D51F9" w14:paraId="5F2F7B22"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2E4D90BB"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hospitals</w:t>
            </w:r>
          </w:p>
        </w:tc>
        <w:tc>
          <w:tcPr>
            <w:tcW w:w="2889" w:type="dxa"/>
            <w:tcBorders>
              <w:top w:val="nil"/>
              <w:left w:val="nil"/>
              <w:bottom w:val="single" w:sz="8" w:space="0" w:color="BFBFBF"/>
              <w:right w:val="nil"/>
            </w:tcBorders>
            <w:shd w:val="clear" w:color="auto" w:fill="auto"/>
            <w:vAlign w:val="center"/>
            <w:hideMark/>
          </w:tcPr>
          <w:p w14:paraId="70B61F83"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14.9</w:t>
            </w:r>
          </w:p>
        </w:tc>
        <w:tc>
          <w:tcPr>
            <w:tcW w:w="2890" w:type="dxa"/>
            <w:tcBorders>
              <w:top w:val="nil"/>
              <w:left w:val="nil"/>
              <w:bottom w:val="single" w:sz="8" w:space="0" w:color="BFBFBF"/>
              <w:right w:val="nil"/>
            </w:tcBorders>
            <w:shd w:val="clear" w:color="auto" w:fill="auto"/>
            <w:vAlign w:val="center"/>
            <w:hideMark/>
          </w:tcPr>
          <w:p w14:paraId="15E3CCAB"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11.6</w:t>
            </w:r>
          </w:p>
        </w:tc>
      </w:tr>
      <w:tr w:rsidR="003D51F9" w:rsidRPr="003D51F9" w14:paraId="00568870"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3B93BE57"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energy market operator assets</w:t>
            </w:r>
          </w:p>
        </w:tc>
        <w:tc>
          <w:tcPr>
            <w:tcW w:w="2889" w:type="dxa"/>
            <w:tcBorders>
              <w:top w:val="nil"/>
              <w:left w:val="nil"/>
              <w:bottom w:val="single" w:sz="8" w:space="0" w:color="BFBFBF"/>
              <w:right w:val="nil"/>
            </w:tcBorders>
            <w:shd w:val="clear" w:color="auto" w:fill="auto"/>
            <w:vAlign w:val="center"/>
            <w:hideMark/>
          </w:tcPr>
          <w:p w14:paraId="2DF9D42B"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25.4</w:t>
            </w:r>
          </w:p>
        </w:tc>
        <w:tc>
          <w:tcPr>
            <w:tcW w:w="2890" w:type="dxa"/>
            <w:tcBorders>
              <w:top w:val="nil"/>
              <w:left w:val="nil"/>
              <w:bottom w:val="single" w:sz="8" w:space="0" w:color="BFBFBF"/>
              <w:right w:val="nil"/>
            </w:tcBorders>
            <w:shd w:val="clear" w:color="auto" w:fill="auto"/>
            <w:vAlign w:val="center"/>
            <w:hideMark/>
          </w:tcPr>
          <w:p w14:paraId="644D30D0"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7.7</w:t>
            </w:r>
          </w:p>
        </w:tc>
      </w:tr>
      <w:tr w:rsidR="003D51F9" w:rsidRPr="003D51F9" w14:paraId="4E4377CF"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12BCE13E"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 xml:space="preserve">Critical freight infrastructure </w:t>
            </w:r>
            <w:r w:rsidRPr="003D51F9">
              <w:rPr>
                <w:rFonts w:ascii="Arial" w:eastAsia="Times New Roman" w:hAnsi="Arial" w:cs="Arial"/>
                <w:i/>
                <w:iCs/>
                <w:color w:val="000000"/>
                <w:sz w:val="20"/>
                <w:szCs w:val="20"/>
                <w:lang w:eastAsia="en-AU"/>
              </w:rPr>
              <w:t>and</w:t>
            </w:r>
            <w:r w:rsidRPr="003D51F9">
              <w:rPr>
                <w:rFonts w:ascii="Arial" w:eastAsia="Times New Roman" w:hAnsi="Arial" w:cs="Arial"/>
                <w:color w:val="000000"/>
                <w:sz w:val="20"/>
                <w:szCs w:val="20"/>
                <w:lang w:eastAsia="en-AU"/>
              </w:rPr>
              <w:t xml:space="preserve"> critical freight services assets</w:t>
            </w:r>
          </w:p>
        </w:tc>
        <w:tc>
          <w:tcPr>
            <w:tcW w:w="2889" w:type="dxa"/>
            <w:tcBorders>
              <w:top w:val="nil"/>
              <w:left w:val="nil"/>
              <w:bottom w:val="single" w:sz="8" w:space="0" w:color="BFBFBF"/>
              <w:right w:val="nil"/>
            </w:tcBorders>
            <w:shd w:val="clear" w:color="auto" w:fill="auto"/>
            <w:vAlign w:val="center"/>
            <w:hideMark/>
          </w:tcPr>
          <w:p w14:paraId="7319D5F9"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4.5</w:t>
            </w:r>
          </w:p>
        </w:tc>
        <w:tc>
          <w:tcPr>
            <w:tcW w:w="2890" w:type="dxa"/>
            <w:tcBorders>
              <w:top w:val="nil"/>
              <w:left w:val="nil"/>
              <w:bottom w:val="single" w:sz="8" w:space="0" w:color="BFBFBF"/>
              <w:right w:val="nil"/>
            </w:tcBorders>
            <w:shd w:val="clear" w:color="auto" w:fill="auto"/>
            <w:vAlign w:val="center"/>
            <w:hideMark/>
          </w:tcPr>
          <w:p w14:paraId="4132A07B"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2.6</w:t>
            </w:r>
          </w:p>
        </w:tc>
      </w:tr>
      <w:tr w:rsidR="003D51F9" w:rsidRPr="003D51F9" w14:paraId="50562D5F" w14:textId="77777777" w:rsidTr="00030761">
        <w:trPr>
          <w:trHeight w:val="426"/>
        </w:trPr>
        <w:tc>
          <w:tcPr>
            <w:tcW w:w="3257" w:type="dxa"/>
            <w:tcBorders>
              <w:top w:val="nil"/>
              <w:left w:val="nil"/>
              <w:bottom w:val="single" w:sz="8" w:space="0" w:color="BFBFBF"/>
              <w:right w:val="nil"/>
            </w:tcBorders>
            <w:shd w:val="clear" w:color="000000" w:fill="F2F2F2"/>
            <w:vAlign w:val="center"/>
            <w:hideMark/>
          </w:tcPr>
          <w:p w14:paraId="0D5813F9" w14:textId="77777777" w:rsidR="003D51F9" w:rsidRPr="003D51F9" w:rsidRDefault="003D51F9" w:rsidP="003D51F9">
            <w:pPr>
              <w:spacing w:after="0" w:line="240" w:lineRule="auto"/>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Critical food and grocery assets</w:t>
            </w:r>
          </w:p>
        </w:tc>
        <w:tc>
          <w:tcPr>
            <w:tcW w:w="2889" w:type="dxa"/>
            <w:tcBorders>
              <w:top w:val="nil"/>
              <w:left w:val="nil"/>
              <w:bottom w:val="single" w:sz="8" w:space="0" w:color="BFBFBF"/>
              <w:right w:val="nil"/>
            </w:tcBorders>
            <w:shd w:val="clear" w:color="auto" w:fill="auto"/>
            <w:vAlign w:val="center"/>
            <w:hideMark/>
          </w:tcPr>
          <w:p w14:paraId="0702EDC9"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3.6</w:t>
            </w:r>
          </w:p>
        </w:tc>
        <w:tc>
          <w:tcPr>
            <w:tcW w:w="2890" w:type="dxa"/>
            <w:tcBorders>
              <w:top w:val="nil"/>
              <w:left w:val="nil"/>
              <w:bottom w:val="single" w:sz="8" w:space="0" w:color="BFBFBF"/>
              <w:right w:val="nil"/>
            </w:tcBorders>
            <w:shd w:val="clear" w:color="auto" w:fill="auto"/>
            <w:vAlign w:val="center"/>
            <w:hideMark/>
          </w:tcPr>
          <w:p w14:paraId="1668DF96" w14:textId="77777777" w:rsidR="003D51F9" w:rsidRPr="003D51F9" w:rsidRDefault="003D51F9" w:rsidP="003D51F9">
            <w:pPr>
              <w:spacing w:after="0" w:line="240" w:lineRule="auto"/>
              <w:jc w:val="center"/>
              <w:rPr>
                <w:rFonts w:ascii="Arial" w:eastAsia="Times New Roman" w:hAnsi="Arial" w:cs="Arial"/>
                <w:color w:val="000000"/>
                <w:sz w:val="20"/>
                <w:szCs w:val="20"/>
                <w:lang w:eastAsia="en-AU"/>
              </w:rPr>
            </w:pPr>
            <w:r w:rsidRPr="003D51F9">
              <w:rPr>
                <w:rFonts w:ascii="Arial" w:eastAsia="Times New Roman" w:hAnsi="Arial" w:cs="Arial"/>
                <w:color w:val="000000"/>
                <w:sz w:val="20"/>
                <w:szCs w:val="20"/>
                <w:lang w:eastAsia="en-AU"/>
              </w:rPr>
              <w:t>2.0</w:t>
            </w:r>
          </w:p>
        </w:tc>
      </w:tr>
      <w:tr w:rsidR="003D51F9" w:rsidRPr="003D51F9" w14:paraId="013DAF75" w14:textId="77777777" w:rsidTr="00030761">
        <w:trPr>
          <w:trHeight w:val="426"/>
        </w:trPr>
        <w:tc>
          <w:tcPr>
            <w:tcW w:w="3257" w:type="dxa"/>
            <w:tcBorders>
              <w:top w:val="nil"/>
              <w:left w:val="nil"/>
              <w:bottom w:val="single" w:sz="8" w:space="0" w:color="BFBFBF"/>
              <w:right w:val="nil"/>
            </w:tcBorders>
            <w:shd w:val="clear" w:color="000000" w:fill="284B98"/>
            <w:vAlign w:val="center"/>
            <w:hideMark/>
          </w:tcPr>
          <w:p w14:paraId="151771FA" w14:textId="77777777" w:rsidR="003D51F9" w:rsidRPr="003D51F9" w:rsidRDefault="003D51F9" w:rsidP="003D51F9">
            <w:pPr>
              <w:spacing w:after="0" w:line="240" w:lineRule="auto"/>
              <w:rPr>
                <w:rFonts w:ascii="Arial" w:eastAsia="Times New Roman" w:hAnsi="Arial" w:cs="Arial"/>
                <w:b/>
                <w:bCs/>
                <w:color w:val="FFFFFF"/>
                <w:sz w:val="20"/>
                <w:szCs w:val="20"/>
                <w:lang w:eastAsia="en-AU"/>
              </w:rPr>
            </w:pPr>
            <w:r w:rsidRPr="003D51F9">
              <w:rPr>
                <w:rFonts w:ascii="Arial" w:eastAsia="Times New Roman" w:hAnsi="Arial" w:cs="Arial"/>
                <w:b/>
                <w:bCs/>
                <w:color w:val="FFFFFF"/>
                <w:sz w:val="20"/>
                <w:szCs w:val="20"/>
                <w:lang w:eastAsia="en-AU"/>
              </w:rPr>
              <w:t>Total average cost per entity</w:t>
            </w:r>
          </w:p>
        </w:tc>
        <w:tc>
          <w:tcPr>
            <w:tcW w:w="2889" w:type="dxa"/>
            <w:tcBorders>
              <w:top w:val="nil"/>
              <w:left w:val="nil"/>
              <w:bottom w:val="single" w:sz="8" w:space="0" w:color="BFBFBF"/>
              <w:right w:val="nil"/>
            </w:tcBorders>
            <w:shd w:val="clear" w:color="000000" w:fill="284B98"/>
            <w:vAlign w:val="center"/>
            <w:hideMark/>
          </w:tcPr>
          <w:p w14:paraId="3F7C3CD7" w14:textId="77777777" w:rsidR="003D51F9" w:rsidRPr="003D51F9" w:rsidRDefault="003D51F9" w:rsidP="003D51F9">
            <w:pPr>
              <w:spacing w:after="0" w:line="240" w:lineRule="auto"/>
              <w:jc w:val="center"/>
              <w:rPr>
                <w:rFonts w:ascii="Arial" w:eastAsia="Times New Roman" w:hAnsi="Arial" w:cs="Arial"/>
                <w:b/>
                <w:bCs/>
                <w:color w:val="FFFFFF"/>
                <w:sz w:val="20"/>
                <w:szCs w:val="20"/>
                <w:lang w:eastAsia="en-AU"/>
              </w:rPr>
            </w:pPr>
            <w:r w:rsidRPr="003D51F9">
              <w:rPr>
                <w:rFonts w:ascii="Arial" w:eastAsia="Times New Roman" w:hAnsi="Arial" w:cs="Arial"/>
                <w:b/>
                <w:bCs/>
                <w:color w:val="FFFFFF"/>
                <w:sz w:val="20"/>
                <w:szCs w:val="20"/>
                <w:lang w:eastAsia="en-AU"/>
              </w:rPr>
              <w:t>9.0</w:t>
            </w:r>
          </w:p>
        </w:tc>
        <w:tc>
          <w:tcPr>
            <w:tcW w:w="2890" w:type="dxa"/>
            <w:tcBorders>
              <w:top w:val="nil"/>
              <w:left w:val="nil"/>
              <w:bottom w:val="single" w:sz="8" w:space="0" w:color="BFBFBF"/>
              <w:right w:val="nil"/>
            </w:tcBorders>
            <w:shd w:val="clear" w:color="000000" w:fill="284B98"/>
            <w:vAlign w:val="center"/>
            <w:hideMark/>
          </w:tcPr>
          <w:p w14:paraId="1C36E6B7" w14:textId="77777777" w:rsidR="003D51F9" w:rsidRPr="003D51F9" w:rsidRDefault="003D51F9" w:rsidP="003D51F9">
            <w:pPr>
              <w:spacing w:after="0" w:line="240" w:lineRule="auto"/>
              <w:jc w:val="center"/>
              <w:rPr>
                <w:rFonts w:ascii="Arial" w:eastAsia="Times New Roman" w:hAnsi="Arial" w:cs="Arial"/>
                <w:b/>
                <w:bCs/>
                <w:color w:val="FFFFFF"/>
                <w:sz w:val="20"/>
                <w:szCs w:val="20"/>
                <w:lang w:eastAsia="en-AU"/>
              </w:rPr>
            </w:pPr>
            <w:r w:rsidRPr="003D51F9">
              <w:rPr>
                <w:rFonts w:ascii="Arial" w:eastAsia="Times New Roman" w:hAnsi="Arial" w:cs="Arial"/>
                <w:b/>
                <w:bCs/>
                <w:color w:val="FFFFFF"/>
                <w:sz w:val="20"/>
                <w:szCs w:val="20"/>
                <w:lang w:eastAsia="en-AU"/>
              </w:rPr>
              <w:t>4.1</w:t>
            </w:r>
          </w:p>
        </w:tc>
      </w:tr>
    </w:tbl>
    <w:p w14:paraId="06DA06E7" w14:textId="025A54DF" w:rsidR="00E1613C" w:rsidRDefault="00E1613C" w:rsidP="00030761">
      <w:pPr>
        <w:spacing w:after="0"/>
        <w:rPr>
          <w:rFonts w:ascii="Arial" w:hAnsi="Arial" w:cs="Arial"/>
        </w:rPr>
      </w:pPr>
    </w:p>
    <w:p w14:paraId="47DD4C14" w14:textId="27CD0FBD" w:rsidR="00C36554" w:rsidRPr="000B323A" w:rsidRDefault="00C36554" w:rsidP="00030761">
      <w:pPr>
        <w:rPr>
          <w:rFonts w:ascii="Arial" w:hAnsi="Arial" w:cs="Arial"/>
          <w:b/>
        </w:rPr>
      </w:pPr>
      <w:r w:rsidRPr="000B323A">
        <w:rPr>
          <w:rFonts w:ascii="Arial" w:hAnsi="Arial" w:cs="Arial"/>
          <w:b/>
        </w:rPr>
        <w:t>Benefits of option 2</w:t>
      </w:r>
    </w:p>
    <w:p w14:paraId="31DDE063" w14:textId="6939F389" w:rsidR="00766379" w:rsidRPr="000B323A" w:rsidRDefault="355ECD02" w:rsidP="5E142495">
      <w:pPr>
        <w:rPr>
          <w:sz w:val="20"/>
          <w:szCs w:val="20"/>
        </w:rPr>
      </w:pPr>
      <w:r w:rsidRPr="5E142495">
        <w:rPr>
          <w:rFonts w:ascii="Arial" w:hAnsi="Arial" w:cs="Arial"/>
          <w:sz w:val="20"/>
          <w:szCs w:val="20"/>
        </w:rPr>
        <w:t xml:space="preserve">Reliable and continuous access to telecommunications assets is critical for Australia’s prosperity. The </w:t>
      </w:r>
      <w:r w:rsidR="00E05125">
        <w:rPr>
          <w:rFonts w:ascii="Arial" w:hAnsi="Arial" w:cs="Arial"/>
          <w:sz w:val="20"/>
          <w:szCs w:val="20"/>
        </w:rPr>
        <w:t xml:space="preserve">critical infrastructure </w:t>
      </w:r>
      <w:r w:rsidRPr="5E142495">
        <w:rPr>
          <w:rFonts w:ascii="Arial" w:hAnsi="Arial" w:cs="Arial"/>
          <w:sz w:val="20"/>
          <w:szCs w:val="20"/>
        </w:rPr>
        <w:t>risk management program framework</w:t>
      </w:r>
      <w:r w:rsidR="67B5FF64" w:rsidRPr="5E142495">
        <w:rPr>
          <w:rFonts w:ascii="Arial" w:hAnsi="Arial" w:cs="Arial"/>
          <w:sz w:val="20"/>
          <w:szCs w:val="20"/>
        </w:rPr>
        <w:t xml:space="preserve"> will uplift baseline security across all</w:t>
      </w:r>
      <w:r w:rsidR="00E05125">
        <w:rPr>
          <w:rFonts w:ascii="Arial" w:hAnsi="Arial" w:cs="Arial"/>
          <w:sz w:val="20"/>
          <w:szCs w:val="20"/>
        </w:rPr>
        <w:t xml:space="preserve"> captured critical</w:t>
      </w:r>
      <w:r w:rsidR="67B5FF64" w:rsidRPr="5E142495">
        <w:rPr>
          <w:rFonts w:ascii="Arial" w:hAnsi="Arial" w:cs="Arial"/>
          <w:sz w:val="20"/>
          <w:szCs w:val="20"/>
        </w:rPr>
        <w:t xml:space="preserve"> telecommunications assets to ensure more resilience to hazards. </w:t>
      </w:r>
      <w:r w:rsidR="785928A6" w:rsidRPr="5E142495">
        <w:rPr>
          <w:rFonts w:ascii="Arial" w:hAnsi="Arial" w:cs="Arial"/>
          <w:sz w:val="20"/>
          <w:szCs w:val="20"/>
        </w:rPr>
        <w:t xml:space="preserve">Its primary benefit is that compliance with the risk management program reduces the frequency and intensity of incidents, which has cascading </w:t>
      </w:r>
      <w:r w:rsidR="70ECCA20" w:rsidRPr="5E142495">
        <w:rPr>
          <w:rFonts w:ascii="Arial" w:hAnsi="Arial" w:cs="Arial"/>
          <w:sz w:val="20"/>
          <w:szCs w:val="20"/>
        </w:rPr>
        <w:t xml:space="preserve">whole of economy benefits </w:t>
      </w:r>
      <w:r w:rsidR="785928A6" w:rsidRPr="5E142495">
        <w:rPr>
          <w:rFonts w:ascii="Arial" w:hAnsi="Arial" w:cs="Arial"/>
          <w:sz w:val="20"/>
          <w:szCs w:val="20"/>
        </w:rPr>
        <w:t>by mini</w:t>
      </w:r>
      <w:r w:rsidR="1349A4B2" w:rsidRPr="5E142495">
        <w:rPr>
          <w:rFonts w:ascii="Arial" w:hAnsi="Arial" w:cs="Arial"/>
          <w:sz w:val="20"/>
          <w:szCs w:val="20"/>
        </w:rPr>
        <w:t xml:space="preserve">mising </w:t>
      </w:r>
      <w:r w:rsidR="785928A6" w:rsidRPr="5E142495">
        <w:rPr>
          <w:rFonts w:ascii="Arial" w:hAnsi="Arial" w:cs="Arial"/>
          <w:sz w:val="20"/>
          <w:szCs w:val="20"/>
        </w:rPr>
        <w:t xml:space="preserve">supply </w:t>
      </w:r>
      <w:r w:rsidR="2093BF22" w:rsidRPr="5E142495">
        <w:rPr>
          <w:rFonts w:ascii="Arial" w:hAnsi="Arial" w:cs="Arial"/>
          <w:sz w:val="20"/>
          <w:szCs w:val="20"/>
        </w:rPr>
        <w:t>disruptions</w:t>
      </w:r>
      <w:r w:rsidR="785928A6" w:rsidRPr="5E142495">
        <w:rPr>
          <w:rFonts w:ascii="Arial" w:hAnsi="Arial" w:cs="Arial"/>
          <w:sz w:val="20"/>
          <w:szCs w:val="20"/>
        </w:rPr>
        <w:t xml:space="preserve"> and </w:t>
      </w:r>
      <w:r w:rsidR="70F692BE" w:rsidRPr="5E142495">
        <w:rPr>
          <w:rFonts w:ascii="Arial" w:hAnsi="Arial" w:cs="Arial"/>
          <w:sz w:val="20"/>
          <w:szCs w:val="20"/>
        </w:rPr>
        <w:t>economic</w:t>
      </w:r>
      <w:r w:rsidR="785928A6" w:rsidRPr="5E142495">
        <w:rPr>
          <w:rFonts w:ascii="Arial" w:hAnsi="Arial" w:cs="Arial"/>
          <w:sz w:val="20"/>
          <w:szCs w:val="20"/>
        </w:rPr>
        <w:t xml:space="preserve"> shock</w:t>
      </w:r>
      <w:r w:rsidR="00351F87" w:rsidRPr="5E142495">
        <w:rPr>
          <w:rFonts w:ascii="Arial" w:hAnsi="Arial" w:cs="Arial"/>
          <w:sz w:val="20"/>
          <w:szCs w:val="20"/>
        </w:rPr>
        <w:t>s</w:t>
      </w:r>
      <w:r w:rsidR="785928A6" w:rsidRPr="5E142495">
        <w:rPr>
          <w:rFonts w:ascii="Arial" w:hAnsi="Arial" w:cs="Arial"/>
          <w:sz w:val="20"/>
          <w:szCs w:val="20"/>
        </w:rPr>
        <w:t xml:space="preserve">. </w:t>
      </w:r>
      <w:r w:rsidR="67B5FF64" w:rsidRPr="5E142495">
        <w:rPr>
          <w:rFonts w:ascii="Arial" w:hAnsi="Arial" w:cs="Arial"/>
          <w:sz w:val="20"/>
          <w:szCs w:val="20"/>
        </w:rPr>
        <w:t xml:space="preserve"> </w:t>
      </w:r>
    </w:p>
    <w:p w14:paraId="02EE88E2" w14:textId="668BD616" w:rsidR="00C36554" w:rsidRPr="000B323A" w:rsidRDefault="00C36554" w:rsidP="3EECC3CA">
      <w:pPr>
        <w:pStyle w:val="Heading3"/>
        <w:rPr>
          <w:rFonts w:ascii="Arial" w:hAnsi="Arial" w:cs="Arial"/>
          <w:b/>
          <w:bCs/>
          <w:color w:val="auto"/>
          <w:sz w:val="22"/>
          <w:szCs w:val="22"/>
        </w:rPr>
      </w:pPr>
      <w:r w:rsidRPr="3EECC3CA">
        <w:rPr>
          <w:rFonts w:ascii="Arial" w:hAnsi="Arial" w:cs="Arial"/>
          <w:b/>
          <w:bCs/>
          <w:color w:val="auto"/>
          <w:sz w:val="22"/>
          <w:szCs w:val="22"/>
        </w:rPr>
        <w:t xml:space="preserve">Economic impacts of disruptions to telecommunications assets </w:t>
      </w:r>
    </w:p>
    <w:p w14:paraId="003E6D2B" w14:textId="2805CD6F" w:rsidR="005D2544" w:rsidRDefault="0A10CDC6" w:rsidP="5E142495">
      <w:pPr>
        <w:rPr>
          <w:rFonts w:ascii="Arial" w:hAnsi="Arial" w:cs="Arial"/>
          <w:sz w:val="20"/>
          <w:szCs w:val="20"/>
        </w:rPr>
      </w:pPr>
      <w:r w:rsidRPr="5E142495">
        <w:rPr>
          <w:rFonts w:ascii="Arial" w:eastAsia="Calibri" w:hAnsi="Arial" w:cs="Arial"/>
          <w:sz w:val="20"/>
          <w:szCs w:val="20"/>
        </w:rPr>
        <w:t xml:space="preserve">Disruptions </w:t>
      </w:r>
      <w:r w:rsidR="5D8A22CA" w:rsidRPr="5E142495">
        <w:rPr>
          <w:rFonts w:ascii="Arial" w:eastAsia="Calibri" w:hAnsi="Arial" w:cs="Arial"/>
          <w:sz w:val="20"/>
          <w:szCs w:val="20"/>
        </w:rPr>
        <w:t>to</w:t>
      </w:r>
      <w:r w:rsidRPr="5E142495">
        <w:rPr>
          <w:rFonts w:ascii="Arial" w:eastAsia="Calibri" w:hAnsi="Arial" w:cs="Arial"/>
          <w:sz w:val="20"/>
          <w:szCs w:val="20"/>
        </w:rPr>
        <w:t xml:space="preserve"> critical telecommunication assets can </w:t>
      </w:r>
      <w:r w:rsidR="3469B27C" w:rsidRPr="5E142495">
        <w:rPr>
          <w:rFonts w:ascii="Arial" w:eastAsia="Calibri" w:hAnsi="Arial" w:cs="Arial"/>
          <w:sz w:val="20"/>
          <w:szCs w:val="20"/>
        </w:rPr>
        <w:t xml:space="preserve">have profound </w:t>
      </w:r>
      <w:r w:rsidR="0F7B0B4D" w:rsidRPr="5E142495">
        <w:rPr>
          <w:rFonts w:ascii="Arial" w:eastAsia="Calibri" w:hAnsi="Arial" w:cs="Arial"/>
          <w:sz w:val="20"/>
          <w:szCs w:val="20"/>
        </w:rPr>
        <w:t>effects</w:t>
      </w:r>
      <w:r w:rsidR="3469B27C" w:rsidRPr="5E142495">
        <w:rPr>
          <w:rFonts w:ascii="Arial" w:eastAsia="Calibri" w:hAnsi="Arial" w:cs="Arial"/>
          <w:sz w:val="20"/>
          <w:szCs w:val="20"/>
        </w:rPr>
        <w:t xml:space="preserve">, both directly on customers and as </w:t>
      </w:r>
      <w:r w:rsidR="32AA19B4" w:rsidRPr="5E142495">
        <w:rPr>
          <w:rFonts w:ascii="Arial" w:eastAsia="Calibri" w:hAnsi="Arial" w:cs="Arial"/>
          <w:sz w:val="20"/>
          <w:szCs w:val="20"/>
        </w:rPr>
        <w:t xml:space="preserve">other critical infrastructure assets </w:t>
      </w:r>
      <w:r w:rsidR="3A54A534" w:rsidRPr="5E142495">
        <w:rPr>
          <w:rFonts w:ascii="Arial" w:eastAsia="Calibri" w:hAnsi="Arial" w:cs="Arial"/>
          <w:sz w:val="20"/>
          <w:szCs w:val="20"/>
        </w:rPr>
        <w:t xml:space="preserve">are unable to use telecommunications networks to perform essential services. </w:t>
      </w:r>
      <w:r w:rsidRPr="5E142495">
        <w:rPr>
          <w:rFonts w:ascii="Arial" w:eastAsia="Calibri" w:hAnsi="Arial" w:cs="Arial"/>
          <w:sz w:val="20"/>
          <w:szCs w:val="20"/>
        </w:rPr>
        <w:t xml:space="preserve">These events generate costly immediate and longer-term impacts </w:t>
      </w:r>
      <w:r w:rsidRPr="5E142495">
        <w:rPr>
          <w:rFonts w:ascii="Arial" w:eastAsia="Calibri" w:hAnsi="Arial" w:cs="Arial"/>
          <w:color w:val="000000" w:themeColor="text1"/>
          <w:sz w:val="20"/>
          <w:szCs w:val="20"/>
        </w:rPr>
        <w:t xml:space="preserve">on the Australian economy. </w:t>
      </w:r>
      <w:r w:rsidR="5F1DADAB" w:rsidRPr="5E142495">
        <w:rPr>
          <w:rFonts w:ascii="Arial" w:eastAsia="Calibri" w:hAnsi="Arial" w:cs="Arial"/>
          <w:color w:val="000000" w:themeColor="text1"/>
          <w:sz w:val="20"/>
          <w:szCs w:val="20"/>
        </w:rPr>
        <w:t>Further,</w:t>
      </w:r>
      <w:r w:rsidR="358A6AA5" w:rsidRPr="5E142495">
        <w:rPr>
          <w:rFonts w:ascii="Arial" w:hAnsi="Arial" w:cs="Arial"/>
          <w:sz w:val="20"/>
          <w:szCs w:val="20"/>
        </w:rPr>
        <w:t xml:space="preserve"> </w:t>
      </w:r>
      <w:r w:rsidR="6F2F4B96" w:rsidRPr="5E142495">
        <w:rPr>
          <w:rFonts w:ascii="Arial" w:hAnsi="Arial" w:cs="Arial"/>
          <w:sz w:val="20"/>
          <w:szCs w:val="20"/>
        </w:rPr>
        <w:t>telecommunications</w:t>
      </w:r>
      <w:r w:rsidR="08E78F37" w:rsidRPr="5E142495">
        <w:rPr>
          <w:rFonts w:ascii="Arial" w:hAnsi="Arial" w:cs="Arial"/>
          <w:sz w:val="20"/>
          <w:szCs w:val="20"/>
        </w:rPr>
        <w:t xml:space="preserve"> assets hold significant quantities of data including highly sensitive data about all Australians and entities</w:t>
      </w:r>
      <w:r w:rsidR="6357FA7A" w:rsidRPr="5E142495">
        <w:rPr>
          <w:rFonts w:ascii="Arial" w:hAnsi="Arial" w:cs="Arial"/>
          <w:sz w:val="20"/>
          <w:szCs w:val="20"/>
        </w:rPr>
        <w:t xml:space="preserve">. As such, telecommunications assets </w:t>
      </w:r>
      <w:r w:rsidR="284299EE" w:rsidRPr="5E142495">
        <w:rPr>
          <w:rFonts w:ascii="Arial" w:hAnsi="Arial" w:cs="Arial"/>
          <w:sz w:val="20"/>
          <w:szCs w:val="20"/>
        </w:rPr>
        <w:t>may be more frequently</w:t>
      </w:r>
      <w:r w:rsidR="6357FA7A" w:rsidRPr="5E142495">
        <w:rPr>
          <w:rFonts w:ascii="Arial" w:hAnsi="Arial" w:cs="Arial"/>
          <w:sz w:val="20"/>
          <w:szCs w:val="20"/>
        </w:rPr>
        <w:t xml:space="preserve"> exposed to risks involving attempted espionage and sabotage than other critical </w:t>
      </w:r>
      <w:r w:rsidR="64F769A7" w:rsidRPr="5E142495">
        <w:rPr>
          <w:rFonts w:ascii="Arial" w:hAnsi="Arial" w:cs="Arial"/>
          <w:sz w:val="20"/>
          <w:szCs w:val="20"/>
        </w:rPr>
        <w:t>infrastructure</w:t>
      </w:r>
      <w:r w:rsidR="362DCD83" w:rsidRPr="5E142495">
        <w:rPr>
          <w:rFonts w:ascii="Arial" w:hAnsi="Arial" w:cs="Arial"/>
          <w:sz w:val="20"/>
          <w:szCs w:val="20"/>
        </w:rPr>
        <w:t xml:space="preserve"> assets</w:t>
      </w:r>
      <w:r w:rsidR="17C40D52" w:rsidRPr="5E142495">
        <w:rPr>
          <w:rFonts w:ascii="Arial" w:hAnsi="Arial" w:cs="Arial"/>
          <w:sz w:val="20"/>
          <w:szCs w:val="20"/>
        </w:rPr>
        <w:t>.</w:t>
      </w:r>
      <w:r w:rsidR="08E78F37" w:rsidRPr="5E142495">
        <w:rPr>
          <w:rFonts w:ascii="Arial" w:hAnsi="Arial" w:cs="Arial"/>
          <w:sz w:val="20"/>
          <w:szCs w:val="20"/>
        </w:rPr>
        <w:t xml:space="preserve"> </w:t>
      </w:r>
    </w:p>
    <w:p w14:paraId="6E36AE42" w14:textId="77F2547D" w:rsidR="003C3416" w:rsidRDefault="02A7EB21" w:rsidP="3961DAA9">
      <w:pPr>
        <w:rPr>
          <w:rFonts w:ascii="Arial" w:eastAsia="Calibri" w:hAnsi="Arial" w:cs="Arial"/>
          <w:sz w:val="20"/>
          <w:szCs w:val="20"/>
        </w:rPr>
      </w:pPr>
      <w:r w:rsidRPr="3961DAA9">
        <w:rPr>
          <w:rFonts w:ascii="Arial" w:eastAsia="Calibri" w:hAnsi="Arial" w:cs="Arial"/>
          <w:sz w:val="20"/>
          <w:szCs w:val="20"/>
        </w:rPr>
        <w:t>A significant incident affecting a critical telecommunications asset may cause:</w:t>
      </w:r>
    </w:p>
    <w:p w14:paraId="09DE50E4" w14:textId="3A85FF6F" w:rsidR="003C3416" w:rsidRPr="00CB02AE" w:rsidRDefault="008D6B79" w:rsidP="003C3416">
      <w:pPr>
        <w:pStyle w:val="Bullet1stlevel"/>
        <w:rPr>
          <w:rFonts w:ascii="Arial" w:hAnsi="Arial" w:cs="Arial"/>
          <w:sz w:val="20"/>
          <w:szCs w:val="20"/>
        </w:rPr>
      </w:pPr>
      <w:r w:rsidRPr="3961DAA9">
        <w:rPr>
          <w:rFonts w:ascii="Arial" w:hAnsi="Arial" w:cs="Arial"/>
          <w:sz w:val="20"/>
          <w:szCs w:val="20"/>
        </w:rPr>
        <w:t>d</w:t>
      </w:r>
      <w:r w:rsidR="003C3416" w:rsidRPr="3961DAA9">
        <w:rPr>
          <w:rFonts w:ascii="Arial" w:hAnsi="Arial" w:cs="Arial"/>
          <w:sz w:val="20"/>
          <w:szCs w:val="20"/>
        </w:rPr>
        <w:t>isrupt</w:t>
      </w:r>
      <w:r w:rsidRPr="3961DAA9">
        <w:rPr>
          <w:rFonts w:ascii="Arial" w:hAnsi="Arial" w:cs="Arial"/>
          <w:sz w:val="20"/>
          <w:szCs w:val="20"/>
        </w:rPr>
        <w:t>ions to</w:t>
      </w:r>
      <w:r w:rsidR="003C3416" w:rsidRPr="3961DAA9">
        <w:rPr>
          <w:rFonts w:ascii="Arial" w:hAnsi="Arial" w:cs="Arial"/>
          <w:sz w:val="20"/>
          <w:szCs w:val="20"/>
        </w:rPr>
        <w:t xml:space="preserve"> economic activity</w:t>
      </w:r>
      <w:r w:rsidRPr="3961DAA9">
        <w:rPr>
          <w:rFonts w:ascii="Arial" w:hAnsi="Arial" w:cs="Arial"/>
          <w:sz w:val="20"/>
          <w:szCs w:val="20"/>
        </w:rPr>
        <w:t xml:space="preserve">, with </w:t>
      </w:r>
      <w:r w:rsidR="21A45E4C" w:rsidRPr="3961DAA9">
        <w:rPr>
          <w:rFonts w:ascii="Arial" w:hAnsi="Arial" w:cs="Arial"/>
          <w:sz w:val="20"/>
          <w:szCs w:val="20"/>
        </w:rPr>
        <w:t xml:space="preserve">immediate </w:t>
      </w:r>
      <w:r w:rsidR="005534BE" w:rsidRPr="3961DAA9">
        <w:rPr>
          <w:rFonts w:ascii="Arial" w:hAnsi="Arial" w:cs="Arial"/>
          <w:sz w:val="20"/>
          <w:szCs w:val="20"/>
        </w:rPr>
        <w:t>i</w:t>
      </w:r>
      <w:r w:rsidR="00CE188E" w:rsidRPr="3961DAA9">
        <w:rPr>
          <w:rFonts w:ascii="Arial" w:hAnsi="Arial" w:cs="Arial"/>
          <w:sz w:val="20"/>
          <w:szCs w:val="20"/>
        </w:rPr>
        <w:t>mpact</w:t>
      </w:r>
      <w:r w:rsidR="005534BE" w:rsidRPr="3961DAA9">
        <w:rPr>
          <w:rFonts w:ascii="Arial" w:hAnsi="Arial" w:cs="Arial"/>
          <w:sz w:val="20"/>
          <w:szCs w:val="20"/>
        </w:rPr>
        <w:t>s</w:t>
      </w:r>
      <w:r w:rsidR="00CE188E" w:rsidRPr="3961DAA9">
        <w:rPr>
          <w:rFonts w:ascii="Arial" w:hAnsi="Arial" w:cs="Arial"/>
          <w:sz w:val="20"/>
          <w:szCs w:val="20"/>
        </w:rPr>
        <w:t xml:space="preserve"> on other critical infrastructure or government services </w:t>
      </w:r>
      <w:r w:rsidR="003C3416" w:rsidRPr="3961DAA9">
        <w:rPr>
          <w:rFonts w:ascii="Arial" w:hAnsi="Arial" w:cs="Arial"/>
          <w:sz w:val="20"/>
          <w:szCs w:val="20"/>
        </w:rPr>
        <w:t xml:space="preserve">(e.g. </w:t>
      </w:r>
      <w:r w:rsidR="00F57BA8" w:rsidRPr="3961DAA9">
        <w:rPr>
          <w:rFonts w:ascii="Arial" w:hAnsi="Arial" w:cs="Arial"/>
          <w:sz w:val="20"/>
          <w:szCs w:val="20"/>
        </w:rPr>
        <w:t xml:space="preserve">financial </w:t>
      </w:r>
      <w:r w:rsidR="00E90AFE" w:rsidRPr="3961DAA9">
        <w:rPr>
          <w:rFonts w:ascii="Arial" w:hAnsi="Arial" w:cs="Arial"/>
          <w:sz w:val="20"/>
          <w:szCs w:val="20"/>
        </w:rPr>
        <w:t>intermed</w:t>
      </w:r>
      <w:r w:rsidR="00BF761D" w:rsidRPr="3961DAA9">
        <w:rPr>
          <w:rFonts w:ascii="Arial" w:hAnsi="Arial" w:cs="Arial"/>
          <w:sz w:val="20"/>
          <w:szCs w:val="20"/>
        </w:rPr>
        <w:t>iaries</w:t>
      </w:r>
      <w:r w:rsidR="00E90AFE" w:rsidRPr="3961DAA9">
        <w:rPr>
          <w:rFonts w:ascii="Arial" w:hAnsi="Arial" w:cs="Arial"/>
          <w:sz w:val="20"/>
          <w:szCs w:val="20"/>
        </w:rPr>
        <w:t>,</w:t>
      </w:r>
      <w:r w:rsidR="00BF761D" w:rsidRPr="3961DAA9">
        <w:rPr>
          <w:rFonts w:ascii="Arial" w:hAnsi="Arial" w:cs="Arial"/>
          <w:sz w:val="20"/>
          <w:szCs w:val="20"/>
        </w:rPr>
        <w:t xml:space="preserve"> </w:t>
      </w:r>
      <w:r w:rsidR="00165853" w:rsidRPr="3961DAA9">
        <w:rPr>
          <w:rFonts w:ascii="Arial" w:hAnsi="Arial" w:cs="Arial"/>
          <w:sz w:val="20"/>
          <w:szCs w:val="20"/>
        </w:rPr>
        <w:t>health, and transport services</w:t>
      </w:r>
      <w:r w:rsidR="003C3416" w:rsidRPr="3961DAA9">
        <w:rPr>
          <w:rFonts w:ascii="Arial" w:hAnsi="Arial" w:cs="Arial"/>
          <w:sz w:val="20"/>
          <w:szCs w:val="20"/>
        </w:rPr>
        <w:t>);</w:t>
      </w:r>
    </w:p>
    <w:p w14:paraId="5E8F5553" w14:textId="09F84E6D" w:rsidR="30575B30" w:rsidRDefault="30575B30" w:rsidP="3961DAA9">
      <w:pPr>
        <w:pStyle w:val="Bullet1stlevel"/>
        <w:rPr>
          <w:rFonts w:ascii="Arial" w:hAnsi="Arial" w:cs="Arial"/>
          <w:sz w:val="20"/>
          <w:szCs w:val="20"/>
        </w:rPr>
      </w:pPr>
      <w:r w:rsidRPr="1F2C2F0C">
        <w:rPr>
          <w:rFonts w:ascii="Arial" w:hAnsi="Arial" w:cs="Arial"/>
          <w:sz w:val="20"/>
          <w:szCs w:val="20"/>
        </w:rPr>
        <w:t>self-perpetuating economic shocks through the supply chain if redundancies are unavailable or inadequate;</w:t>
      </w:r>
    </w:p>
    <w:p w14:paraId="429F8C0D" w14:textId="68981CF6" w:rsidR="006C644F" w:rsidRPr="00EC60F2" w:rsidRDefault="003F31FE" w:rsidP="003C3416">
      <w:pPr>
        <w:pStyle w:val="Bullet1stlevel"/>
        <w:rPr>
          <w:rFonts w:ascii="Arial" w:hAnsi="Arial" w:cs="Arial"/>
          <w:sz w:val="20"/>
          <w:szCs w:val="20"/>
        </w:rPr>
      </w:pPr>
      <w:r w:rsidRPr="1F2C2F0C">
        <w:rPr>
          <w:rFonts w:ascii="Arial" w:hAnsi="Arial" w:cs="Arial"/>
          <w:sz w:val="20"/>
          <w:szCs w:val="20"/>
        </w:rPr>
        <w:t>compromises to</w:t>
      </w:r>
      <w:r w:rsidR="006C644F" w:rsidRPr="1F2C2F0C">
        <w:rPr>
          <w:rFonts w:ascii="Arial" w:hAnsi="Arial" w:cs="Arial"/>
          <w:sz w:val="20"/>
          <w:szCs w:val="20"/>
        </w:rPr>
        <w:t xml:space="preserve"> </w:t>
      </w:r>
      <w:r w:rsidR="2596DA16" w:rsidRPr="1F2C2F0C">
        <w:rPr>
          <w:rFonts w:ascii="Arial" w:hAnsi="Arial" w:cs="Arial"/>
          <w:sz w:val="20"/>
          <w:szCs w:val="20"/>
        </w:rPr>
        <w:t xml:space="preserve">sensitive data, including business critical data, which may generate further national security and privacy risks and severe </w:t>
      </w:r>
      <w:r w:rsidR="08D62DF2" w:rsidRPr="1F2C2F0C">
        <w:rPr>
          <w:rFonts w:ascii="Arial" w:hAnsi="Arial" w:cs="Arial"/>
          <w:sz w:val="20"/>
          <w:szCs w:val="20"/>
        </w:rPr>
        <w:t xml:space="preserve">opportunity costs as business efforts are redirected to consequence management; </w:t>
      </w:r>
      <w:r w:rsidR="004E593F">
        <w:rPr>
          <w:rFonts w:ascii="Arial" w:hAnsi="Arial" w:cs="Arial"/>
          <w:sz w:val="20"/>
          <w:szCs w:val="20"/>
        </w:rPr>
        <w:t>and</w:t>
      </w:r>
      <w:r w:rsidR="08D62DF2" w:rsidRPr="1F2C2F0C">
        <w:rPr>
          <w:rFonts w:ascii="Arial" w:hAnsi="Arial" w:cs="Arial"/>
          <w:sz w:val="20"/>
          <w:szCs w:val="20"/>
        </w:rPr>
        <w:t xml:space="preserve"> </w:t>
      </w:r>
    </w:p>
    <w:p w14:paraId="728BB587" w14:textId="35D59C6C" w:rsidR="001D6774" w:rsidRPr="00EC60F2" w:rsidRDefault="003F31FE" w:rsidP="003C3416">
      <w:pPr>
        <w:pStyle w:val="Bullet1stlevel"/>
        <w:rPr>
          <w:rFonts w:ascii="Arial" w:hAnsi="Arial" w:cs="Arial"/>
          <w:sz w:val="20"/>
          <w:szCs w:val="20"/>
        </w:rPr>
      </w:pPr>
      <w:r w:rsidRPr="3961DAA9">
        <w:rPr>
          <w:rFonts w:ascii="Arial" w:hAnsi="Arial" w:cs="Arial"/>
          <w:sz w:val="20"/>
          <w:szCs w:val="20"/>
        </w:rPr>
        <w:t>impairments</w:t>
      </w:r>
      <w:r w:rsidR="00694486" w:rsidRPr="3961DAA9">
        <w:rPr>
          <w:rFonts w:ascii="Arial" w:hAnsi="Arial" w:cs="Arial"/>
          <w:sz w:val="20"/>
          <w:szCs w:val="20"/>
        </w:rPr>
        <w:t xml:space="preserve"> of the availability of networks causing </w:t>
      </w:r>
      <w:r w:rsidR="004838CE" w:rsidRPr="3961DAA9">
        <w:rPr>
          <w:rFonts w:ascii="Arial" w:hAnsi="Arial" w:cs="Arial"/>
          <w:sz w:val="20"/>
          <w:szCs w:val="20"/>
        </w:rPr>
        <w:t xml:space="preserve">wide-ranging communications </w:t>
      </w:r>
      <w:r w:rsidR="00694486" w:rsidRPr="3961DAA9">
        <w:rPr>
          <w:rFonts w:ascii="Arial" w:hAnsi="Arial" w:cs="Arial"/>
          <w:sz w:val="20"/>
          <w:szCs w:val="20"/>
        </w:rPr>
        <w:t>d</w:t>
      </w:r>
      <w:r w:rsidR="006405B2" w:rsidRPr="3961DAA9">
        <w:rPr>
          <w:rFonts w:ascii="Arial" w:hAnsi="Arial" w:cs="Arial"/>
          <w:sz w:val="20"/>
          <w:szCs w:val="20"/>
        </w:rPr>
        <w:t>ifficulties</w:t>
      </w:r>
      <w:r w:rsidR="34E0D79C" w:rsidRPr="3961DAA9">
        <w:rPr>
          <w:rFonts w:ascii="Arial" w:hAnsi="Arial" w:cs="Arial"/>
          <w:sz w:val="20"/>
          <w:szCs w:val="20"/>
        </w:rPr>
        <w:t xml:space="preserve"> for </w:t>
      </w:r>
      <w:r w:rsidR="1253C8DB" w:rsidRPr="3961DAA9">
        <w:rPr>
          <w:rFonts w:ascii="Arial" w:hAnsi="Arial" w:cs="Arial"/>
          <w:sz w:val="20"/>
          <w:szCs w:val="20"/>
        </w:rPr>
        <w:t>individuals, including</w:t>
      </w:r>
      <w:r w:rsidR="004838CE" w:rsidRPr="3961DAA9">
        <w:rPr>
          <w:rFonts w:ascii="Arial" w:hAnsi="Arial" w:cs="Arial"/>
          <w:sz w:val="20"/>
          <w:szCs w:val="20"/>
        </w:rPr>
        <w:t xml:space="preserve"> </w:t>
      </w:r>
      <w:r w:rsidR="00D90408" w:rsidRPr="3961DAA9">
        <w:rPr>
          <w:rFonts w:ascii="Arial" w:hAnsi="Arial" w:cs="Arial"/>
          <w:sz w:val="20"/>
          <w:szCs w:val="20"/>
        </w:rPr>
        <w:t>but not limited to</w:t>
      </w:r>
      <w:r w:rsidR="34CFEDFD" w:rsidRPr="3961DAA9">
        <w:rPr>
          <w:rFonts w:ascii="Arial" w:hAnsi="Arial" w:cs="Arial"/>
          <w:sz w:val="20"/>
          <w:szCs w:val="20"/>
        </w:rPr>
        <w:t>:</w:t>
      </w:r>
    </w:p>
    <w:p w14:paraId="7F8FEB01" w14:textId="21AA2202" w:rsidR="001D6774" w:rsidRPr="00EC60F2" w:rsidRDefault="09148E1C" w:rsidP="00FD0125">
      <w:pPr>
        <w:pStyle w:val="Bullet1stlevel"/>
        <w:numPr>
          <w:ilvl w:val="6"/>
          <w:numId w:val="41"/>
        </w:numPr>
        <w:ind w:left="851"/>
        <w:rPr>
          <w:rFonts w:ascii="Arial" w:hAnsi="Arial" w:cs="Arial"/>
          <w:sz w:val="20"/>
          <w:szCs w:val="20"/>
        </w:rPr>
      </w:pPr>
      <w:r w:rsidRPr="1F2C2F0C">
        <w:rPr>
          <w:rFonts w:ascii="Arial" w:hAnsi="Arial" w:cs="Arial"/>
          <w:sz w:val="20"/>
          <w:szCs w:val="20"/>
        </w:rPr>
        <w:t>c</w:t>
      </w:r>
      <w:r w:rsidR="18DD5A2B" w:rsidRPr="1F2C2F0C">
        <w:rPr>
          <w:rFonts w:ascii="Arial" w:hAnsi="Arial" w:cs="Arial"/>
          <w:sz w:val="20"/>
          <w:szCs w:val="20"/>
        </w:rPr>
        <w:t xml:space="preserve">onnecting </w:t>
      </w:r>
      <w:r w:rsidR="00D953DE" w:rsidRPr="1F2C2F0C">
        <w:rPr>
          <w:rFonts w:ascii="Arial" w:hAnsi="Arial" w:cs="Arial"/>
          <w:sz w:val="20"/>
          <w:szCs w:val="20"/>
        </w:rPr>
        <w:t xml:space="preserve">with friends and family, </w:t>
      </w:r>
    </w:p>
    <w:p w14:paraId="6D9FED48" w14:textId="54177C25" w:rsidR="001D6774" w:rsidRPr="00EC60F2" w:rsidRDefault="3323CAC4" w:rsidP="00C13DCB">
      <w:pPr>
        <w:pStyle w:val="Bullet1stlevel"/>
        <w:numPr>
          <w:ilvl w:val="6"/>
          <w:numId w:val="41"/>
        </w:numPr>
        <w:ind w:left="851"/>
        <w:rPr>
          <w:rFonts w:ascii="Arial" w:hAnsi="Arial" w:cs="Arial"/>
          <w:sz w:val="20"/>
          <w:szCs w:val="20"/>
        </w:rPr>
      </w:pPr>
      <w:r w:rsidRPr="5F4A6261">
        <w:rPr>
          <w:rFonts w:ascii="Arial" w:hAnsi="Arial" w:cs="Arial"/>
          <w:sz w:val="20"/>
          <w:szCs w:val="20"/>
        </w:rPr>
        <w:t xml:space="preserve">contacting </w:t>
      </w:r>
      <w:r w:rsidR="1A840F28" w:rsidRPr="5F4A6261">
        <w:rPr>
          <w:rFonts w:ascii="Arial" w:hAnsi="Arial" w:cs="Arial"/>
          <w:sz w:val="20"/>
          <w:szCs w:val="20"/>
        </w:rPr>
        <w:t xml:space="preserve">health care and </w:t>
      </w:r>
      <w:r w:rsidR="5752C4C5" w:rsidRPr="5F4A6261">
        <w:rPr>
          <w:rFonts w:ascii="Arial" w:hAnsi="Arial" w:cs="Arial"/>
          <w:sz w:val="20"/>
          <w:szCs w:val="20"/>
        </w:rPr>
        <w:t>emergency services,</w:t>
      </w:r>
    </w:p>
    <w:p w14:paraId="1A35B3F7" w14:textId="4F07A691" w:rsidR="001D6774" w:rsidRPr="00EC60F2" w:rsidRDefault="00D953DE" w:rsidP="00FD0125">
      <w:pPr>
        <w:pStyle w:val="Bullet1stlevel"/>
        <w:numPr>
          <w:ilvl w:val="6"/>
          <w:numId w:val="41"/>
        </w:numPr>
        <w:ind w:left="851"/>
        <w:rPr>
          <w:rFonts w:ascii="Arial" w:hAnsi="Arial" w:cs="Arial"/>
          <w:sz w:val="20"/>
          <w:szCs w:val="20"/>
        </w:rPr>
      </w:pPr>
      <w:r w:rsidRPr="3961DAA9">
        <w:rPr>
          <w:rFonts w:ascii="Arial" w:hAnsi="Arial" w:cs="Arial"/>
          <w:sz w:val="20"/>
          <w:szCs w:val="20"/>
        </w:rPr>
        <w:t>obtain</w:t>
      </w:r>
      <w:r w:rsidR="006405B2" w:rsidRPr="3961DAA9">
        <w:rPr>
          <w:rFonts w:ascii="Arial" w:hAnsi="Arial" w:cs="Arial"/>
          <w:sz w:val="20"/>
          <w:szCs w:val="20"/>
        </w:rPr>
        <w:t>ing</w:t>
      </w:r>
      <w:r w:rsidRPr="3961DAA9">
        <w:rPr>
          <w:rFonts w:ascii="Arial" w:hAnsi="Arial" w:cs="Arial"/>
          <w:sz w:val="20"/>
          <w:szCs w:val="20"/>
        </w:rPr>
        <w:t xml:space="preserve"> information</w:t>
      </w:r>
      <w:r w:rsidR="2F381B3C" w:rsidRPr="3961DAA9">
        <w:rPr>
          <w:rFonts w:ascii="Arial" w:hAnsi="Arial" w:cs="Arial"/>
          <w:sz w:val="20"/>
          <w:szCs w:val="20"/>
        </w:rPr>
        <w:t xml:space="preserve"> or advice</w:t>
      </w:r>
      <w:r w:rsidRPr="3961DAA9">
        <w:rPr>
          <w:rFonts w:ascii="Arial" w:hAnsi="Arial" w:cs="Arial"/>
          <w:sz w:val="20"/>
          <w:szCs w:val="20"/>
        </w:rPr>
        <w:t xml:space="preserve">, </w:t>
      </w:r>
    </w:p>
    <w:p w14:paraId="40E382F2" w14:textId="17EDE72B" w:rsidR="001D6774" w:rsidRPr="00EC60F2" w:rsidRDefault="004A1470" w:rsidP="00FD0125">
      <w:pPr>
        <w:pStyle w:val="Bullet1stlevel"/>
        <w:numPr>
          <w:ilvl w:val="6"/>
          <w:numId w:val="41"/>
        </w:numPr>
        <w:ind w:left="851"/>
        <w:rPr>
          <w:rFonts w:ascii="Arial" w:hAnsi="Arial" w:cs="Arial"/>
          <w:sz w:val="20"/>
          <w:szCs w:val="20"/>
        </w:rPr>
      </w:pPr>
      <w:r w:rsidRPr="3961DAA9">
        <w:rPr>
          <w:rFonts w:ascii="Arial" w:hAnsi="Arial" w:cs="Arial"/>
          <w:sz w:val="20"/>
          <w:szCs w:val="20"/>
        </w:rPr>
        <w:t>working from home</w:t>
      </w:r>
      <w:r w:rsidR="00CF5533">
        <w:rPr>
          <w:rFonts w:ascii="Arial" w:hAnsi="Arial" w:cs="Arial"/>
          <w:sz w:val="20"/>
          <w:szCs w:val="20"/>
        </w:rPr>
        <w:t>,</w:t>
      </w:r>
      <w:r w:rsidR="4E4E44CC" w:rsidRPr="3961DAA9">
        <w:rPr>
          <w:rFonts w:ascii="Arial" w:hAnsi="Arial" w:cs="Arial"/>
          <w:sz w:val="20"/>
          <w:szCs w:val="20"/>
        </w:rPr>
        <w:t xml:space="preserve"> or</w:t>
      </w:r>
    </w:p>
    <w:p w14:paraId="2BE9360E" w14:textId="44B5CBFA" w:rsidR="001D6774" w:rsidRPr="00EC60F2" w:rsidRDefault="00E23DF9" w:rsidP="00FD0125">
      <w:pPr>
        <w:pStyle w:val="Bullet1stlevel"/>
        <w:numPr>
          <w:ilvl w:val="6"/>
          <w:numId w:val="41"/>
        </w:numPr>
        <w:ind w:left="851"/>
        <w:rPr>
          <w:rFonts w:ascii="Arial" w:hAnsi="Arial" w:cs="Arial"/>
          <w:sz w:val="20"/>
          <w:szCs w:val="20"/>
        </w:rPr>
      </w:pPr>
      <w:proofErr w:type="gramStart"/>
      <w:r w:rsidRPr="1F2C2F0C">
        <w:rPr>
          <w:rFonts w:ascii="Arial" w:hAnsi="Arial" w:cs="Arial"/>
          <w:sz w:val="20"/>
          <w:szCs w:val="20"/>
        </w:rPr>
        <w:t>undertaking</w:t>
      </w:r>
      <w:proofErr w:type="gramEnd"/>
      <w:r w:rsidRPr="1F2C2F0C">
        <w:rPr>
          <w:rFonts w:ascii="Arial" w:hAnsi="Arial" w:cs="Arial"/>
          <w:sz w:val="20"/>
          <w:szCs w:val="20"/>
        </w:rPr>
        <w:t xml:space="preserve"> online educational </w:t>
      </w:r>
      <w:r w:rsidR="00D953DE" w:rsidRPr="1F2C2F0C">
        <w:rPr>
          <w:rFonts w:ascii="Arial" w:hAnsi="Arial" w:cs="Arial"/>
          <w:sz w:val="20"/>
          <w:szCs w:val="20"/>
        </w:rPr>
        <w:t xml:space="preserve">courses. </w:t>
      </w:r>
    </w:p>
    <w:p w14:paraId="71E563A4" w14:textId="7C156991" w:rsidR="00F56442" w:rsidRDefault="00945EFC" w:rsidP="00FD0125">
      <w:pPr>
        <w:pStyle w:val="BodyText"/>
        <w:spacing w:before="240"/>
        <w:rPr>
          <w:rFonts w:ascii="Arial" w:hAnsi="Arial" w:cs="Arial"/>
          <w:sz w:val="20"/>
          <w:szCs w:val="20"/>
        </w:rPr>
      </w:pPr>
      <w:r w:rsidRPr="3961DAA9">
        <w:rPr>
          <w:rFonts w:ascii="Arial" w:hAnsi="Arial" w:cs="Arial"/>
          <w:sz w:val="20"/>
          <w:szCs w:val="20"/>
        </w:rPr>
        <w:t>Additionally</w:t>
      </w:r>
      <w:r w:rsidR="00DF2B3A" w:rsidRPr="3961DAA9">
        <w:rPr>
          <w:rFonts w:ascii="Arial" w:hAnsi="Arial" w:cs="Arial"/>
          <w:sz w:val="20"/>
          <w:szCs w:val="20"/>
        </w:rPr>
        <w:t>, a</w:t>
      </w:r>
      <w:r w:rsidR="00511E14" w:rsidRPr="3961DAA9">
        <w:rPr>
          <w:rFonts w:ascii="Arial" w:hAnsi="Arial" w:cs="Arial"/>
          <w:sz w:val="20"/>
          <w:szCs w:val="20"/>
        </w:rPr>
        <w:t xml:space="preserve"> disruption to </w:t>
      </w:r>
      <w:r w:rsidR="002636A2" w:rsidRPr="3961DAA9">
        <w:rPr>
          <w:rFonts w:ascii="Arial" w:hAnsi="Arial" w:cs="Arial"/>
          <w:sz w:val="20"/>
          <w:szCs w:val="20"/>
        </w:rPr>
        <w:t>telecommunications</w:t>
      </w:r>
      <w:r w:rsidR="00511E14" w:rsidRPr="3961DAA9">
        <w:rPr>
          <w:rFonts w:ascii="Arial" w:hAnsi="Arial" w:cs="Arial"/>
          <w:sz w:val="20"/>
          <w:szCs w:val="20"/>
        </w:rPr>
        <w:t xml:space="preserve"> infrastructure </w:t>
      </w:r>
      <w:r w:rsidR="12635782" w:rsidRPr="3961DAA9">
        <w:rPr>
          <w:rFonts w:ascii="Arial" w:hAnsi="Arial" w:cs="Arial"/>
          <w:sz w:val="20"/>
          <w:szCs w:val="20"/>
        </w:rPr>
        <w:t>can</w:t>
      </w:r>
      <w:r w:rsidR="002636A2" w:rsidRPr="3961DAA9">
        <w:rPr>
          <w:rFonts w:ascii="Arial" w:hAnsi="Arial" w:cs="Arial"/>
          <w:sz w:val="20"/>
          <w:szCs w:val="20"/>
        </w:rPr>
        <w:t xml:space="preserve"> </w:t>
      </w:r>
      <w:r w:rsidR="009149AE" w:rsidRPr="3961DAA9">
        <w:rPr>
          <w:rFonts w:ascii="Arial" w:hAnsi="Arial" w:cs="Arial"/>
          <w:sz w:val="20"/>
          <w:szCs w:val="20"/>
        </w:rPr>
        <w:t xml:space="preserve">significantly affect the social well-being of </w:t>
      </w:r>
      <w:r w:rsidR="002636A2" w:rsidRPr="3961DAA9">
        <w:rPr>
          <w:rFonts w:ascii="Arial" w:hAnsi="Arial" w:cs="Arial"/>
          <w:sz w:val="20"/>
          <w:szCs w:val="20"/>
        </w:rPr>
        <w:t>Australia</w:t>
      </w:r>
      <w:r w:rsidR="009149AE" w:rsidRPr="3961DAA9">
        <w:rPr>
          <w:rFonts w:ascii="Arial" w:hAnsi="Arial" w:cs="Arial"/>
          <w:sz w:val="20"/>
          <w:szCs w:val="20"/>
        </w:rPr>
        <w:t xml:space="preserve">. </w:t>
      </w:r>
      <w:r w:rsidR="19CC6E0B" w:rsidRPr="3961DAA9">
        <w:rPr>
          <w:rFonts w:ascii="Arial" w:hAnsi="Arial" w:cs="Arial"/>
          <w:sz w:val="20"/>
          <w:szCs w:val="20"/>
        </w:rPr>
        <w:t xml:space="preserve">The case studies </w:t>
      </w:r>
      <w:r w:rsidR="00842915">
        <w:rPr>
          <w:rFonts w:ascii="Arial" w:hAnsi="Arial" w:cs="Arial"/>
          <w:sz w:val="20"/>
          <w:szCs w:val="20"/>
        </w:rPr>
        <w:t xml:space="preserve">above </w:t>
      </w:r>
      <w:r w:rsidR="19CC6E0B" w:rsidRPr="3961DAA9">
        <w:rPr>
          <w:rFonts w:ascii="Arial" w:hAnsi="Arial" w:cs="Arial"/>
          <w:sz w:val="20"/>
          <w:szCs w:val="20"/>
        </w:rPr>
        <w:t>show that disruptions to telecommunications assets can have an amplified negative im</w:t>
      </w:r>
      <w:r w:rsidR="002B4802">
        <w:rPr>
          <w:rFonts w:ascii="Arial" w:hAnsi="Arial" w:cs="Arial"/>
          <w:sz w:val="20"/>
          <w:szCs w:val="20"/>
        </w:rPr>
        <w:t>p</w:t>
      </w:r>
      <w:r w:rsidR="19CC6E0B" w:rsidRPr="3961DAA9">
        <w:rPr>
          <w:rFonts w:ascii="Arial" w:hAnsi="Arial" w:cs="Arial"/>
          <w:sz w:val="20"/>
          <w:szCs w:val="20"/>
        </w:rPr>
        <w:t>act on communities during existing emergency situations</w:t>
      </w:r>
      <w:r w:rsidR="002672F7" w:rsidRPr="3961DAA9">
        <w:rPr>
          <w:rFonts w:ascii="Arial" w:hAnsi="Arial" w:cs="Arial"/>
          <w:sz w:val="20"/>
          <w:szCs w:val="20"/>
        </w:rPr>
        <w:t xml:space="preserve"> such as </w:t>
      </w:r>
      <w:r w:rsidR="00AC2950" w:rsidRPr="3961DAA9">
        <w:rPr>
          <w:rFonts w:ascii="Arial" w:hAnsi="Arial" w:cs="Arial"/>
          <w:sz w:val="20"/>
          <w:szCs w:val="20"/>
        </w:rPr>
        <w:t>floods and bushfires</w:t>
      </w:r>
      <w:r w:rsidR="002672F7" w:rsidRPr="3961DAA9">
        <w:rPr>
          <w:rFonts w:ascii="Arial" w:hAnsi="Arial" w:cs="Arial"/>
          <w:sz w:val="20"/>
          <w:szCs w:val="20"/>
        </w:rPr>
        <w:t>.</w:t>
      </w:r>
      <w:r w:rsidR="00FD219D" w:rsidRPr="3961DAA9">
        <w:rPr>
          <w:rFonts w:ascii="Arial" w:hAnsi="Arial" w:cs="Arial"/>
          <w:sz w:val="20"/>
          <w:szCs w:val="20"/>
        </w:rPr>
        <w:t xml:space="preserve"> Consequently, </w:t>
      </w:r>
      <w:r w:rsidR="00CB06DE" w:rsidRPr="3961DAA9">
        <w:rPr>
          <w:rFonts w:ascii="Arial" w:hAnsi="Arial" w:cs="Arial"/>
          <w:sz w:val="20"/>
          <w:szCs w:val="20"/>
        </w:rPr>
        <w:t xml:space="preserve">in addition to </w:t>
      </w:r>
      <w:r w:rsidR="00781681">
        <w:rPr>
          <w:rFonts w:ascii="Arial" w:hAnsi="Arial" w:cs="Arial"/>
          <w:sz w:val="20"/>
          <w:szCs w:val="20"/>
        </w:rPr>
        <w:t xml:space="preserve">the </w:t>
      </w:r>
      <w:r w:rsidR="00421351" w:rsidRPr="3961DAA9">
        <w:rPr>
          <w:rFonts w:ascii="Arial" w:hAnsi="Arial" w:cs="Arial"/>
          <w:sz w:val="20"/>
          <w:szCs w:val="20"/>
        </w:rPr>
        <w:t>c</w:t>
      </w:r>
      <w:r w:rsidR="00C87B2F" w:rsidRPr="3961DAA9">
        <w:rPr>
          <w:rFonts w:ascii="Arial" w:hAnsi="Arial" w:cs="Arial"/>
          <w:sz w:val="20"/>
          <w:szCs w:val="20"/>
        </w:rPr>
        <w:t>osts</w:t>
      </w:r>
      <w:r w:rsidR="00A446A4" w:rsidRPr="3961DAA9">
        <w:rPr>
          <w:rFonts w:ascii="Arial" w:hAnsi="Arial" w:cs="Arial"/>
          <w:sz w:val="20"/>
          <w:szCs w:val="20"/>
        </w:rPr>
        <w:t xml:space="preserve"> to the economy</w:t>
      </w:r>
      <w:r w:rsidR="000C30C3" w:rsidRPr="3961DAA9">
        <w:rPr>
          <w:rFonts w:ascii="Arial" w:hAnsi="Arial" w:cs="Arial"/>
          <w:sz w:val="20"/>
          <w:szCs w:val="20"/>
        </w:rPr>
        <w:t xml:space="preserve"> of a disruption to telecommunication assets</w:t>
      </w:r>
      <w:r w:rsidR="009A2D4F" w:rsidRPr="3961DAA9">
        <w:rPr>
          <w:rFonts w:ascii="Arial" w:hAnsi="Arial" w:cs="Arial"/>
          <w:sz w:val="20"/>
          <w:szCs w:val="20"/>
        </w:rPr>
        <w:t xml:space="preserve">, </w:t>
      </w:r>
      <w:r w:rsidR="00220B6A" w:rsidRPr="3961DAA9">
        <w:rPr>
          <w:rFonts w:ascii="Arial" w:hAnsi="Arial" w:cs="Arial"/>
          <w:sz w:val="20"/>
          <w:szCs w:val="20"/>
        </w:rPr>
        <w:t xml:space="preserve">there </w:t>
      </w:r>
      <w:r w:rsidR="008C32AA" w:rsidRPr="3961DAA9">
        <w:rPr>
          <w:rFonts w:ascii="Arial" w:hAnsi="Arial" w:cs="Arial"/>
          <w:sz w:val="20"/>
          <w:szCs w:val="20"/>
        </w:rPr>
        <w:t xml:space="preserve">are the </w:t>
      </w:r>
      <w:r w:rsidR="000E4968" w:rsidRPr="3961DAA9">
        <w:rPr>
          <w:rFonts w:ascii="Arial" w:hAnsi="Arial" w:cs="Arial"/>
          <w:sz w:val="20"/>
          <w:szCs w:val="20"/>
        </w:rPr>
        <w:t>community costs of death, disease or</w:t>
      </w:r>
      <w:r w:rsidR="000F5329">
        <w:rPr>
          <w:rFonts w:ascii="Arial" w:hAnsi="Arial" w:cs="Arial"/>
          <w:sz w:val="20"/>
          <w:szCs w:val="20"/>
        </w:rPr>
        <w:t>,</w:t>
      </w:r>
      <w:r w:rsidR="000E4968" w:rsidRPr="3961DAA9">
        <w:rPr>
          <w:rFonts w:ascii="Arial" w:hAnsi="Arial" w:cs="Arial"/>
          <w:sz w:val="20"/>
          <w:szCs w:val="20"/>
        </w:rPr>
        <w:t xml:space="preserve"> </w:t>
      </w:r>
      <w:r w:rsidR="007B6984" w:rsidRPr="3961DAA9">
        <w:rPr>
          <w:rFonts w:ascii="Arial" w:hAnsi="Arial" w:cs="Arial"/>
          <w:sz w:val="20"/>
          <w:szCs w:val="20"/>
        </w:rPr>
        <w:t xml:space="preserve">injury which are </w:t>
      </w:r>
      <w:r w:rsidR="00D51EE5" w:rsidRPr="3961DAA9">
        <w:rPr>
          <w:rFonts w:ascii="Arial" w:hAnsi="Arial" w:cs="Arial"/>
          <w:sz w:val="20"/>
          <w:szCs w:val="20"/>
        </w:rPr>
        <w:t xml:space="preserve">increased in consequence or likelihood </w:t>
      </w:r>
      <w:r w:rsidR="000925D3" w:rsidRPr="3961DAA9">
        <w:rPr>
          <w:rFonts w:ascii="Arial" w:hAnsi="Arial" w:cs="Arial"/>
          <w:sz w:val="20"/>
          <w:szCs w:val="20"/>
        </w:rPr>
        <w:t xml:space="preserve">because of </w:t>
      </w:r>
      <w:r w:rsidR="00966BD6" w:rsidRPr="3961DAA9">
        <w:rPr>
          <w:rFonts w:ascii="Arial" w:hAnsi="Arial" w:cs="Arial"/>
          <w:sz w:val="20"/>
          <w:szCs w:val="20"/>
        </w:rPr>
        <w:t>an incident.</w:t>
      </w:r>
    </w:p>
    <w:p w14:paraId="560F8E21" w14:textId="141B7E6F" w:rsidR="00D60E87" w:rsidRDefault="006F6227" w:rsidP="5E142495">
      <w:pPr>
        <w:pStyle w:val="BodyText"/>
        <w:rPr>
          <w:rFonts w:ascii="Arial" w:hAnsi="Arial" w:cs="Arial"/>
          <w:sz w:val="20"/>
          <w:szCs w:val="20"/>
        </w:rPr>
      </w:pPr>
      <w:r w:rsidRPr="5E142495">
        <w:rPr>
          <w:rFonts w:ascii="Arial" w:hAnsi="Arial" w:cs="Arial"/>
          <w:sz w:val="20"/>
          <w:szCs w:val="20"/>
        </w:rPr>
        <w:t xml:space="preserve">With </w:t>
      </w:r>
      <w:r w:rsidR="009149AE" w:rsidRPr="5E142495">
        <w:rPr>
          <w:rFonts w:ascii="Arial" w:hAnsi="Arial" w:cs="Arial"/>
          <w:sz w:val="20"/>
          <w:szCs w:val="20"/>
        </w:rPr>
        <w:t>Government and business</w:t>
      </w:r>
      <w:r w:rsidR="00680743" w:rsidRPr="5E142495">
        <w:rPr>
          <w:rFonts w:ascii="Arial" w:hAnsi="Arial" w:cs="Arial"/>
          <w:sz w:val="20"/>
          <w:szCs w:val="20"/>
        </w:rPr>
        <w:t>es</w:t>
      </w:r>
      <w:r w:rsidR="009149AE" w:rsidRPr="5E142495">
        <w:rPr>
          <w:rFonts w:ascii="Arial" w:hAnsi="Arial" w:cs="Arial"/>
          <w:sz w:val="20"/>
          <w:szCs w:val="20"/>
        </w:rPr>
        <w:t xml:space="preserve"> increasingly storing and communicating large amounts of information on and across </w:t>
      </w:r>
      <w:r w:rsidR="478BEEB0" w:rsidRPr="5E142495">
        <w:rPr>
          <w:rFonts w:ascii="Arial" w:hAnsi="Arial" w:cs="Arial"/>
          <w:sz w:val="20"/>
          <w:szCs w:val="20"/>
        </w:rPr>
        <w:t>critical telecommunications assets</w:t>
      </w:r>
      <w:r w:rsidR="5B6AE35E" w:rsidRPr="5E142495">
        <w:rPr>
          <w:rFonts w:ascii="Arial" w:hAnsi="Arial" w:cs="Arial"/>
          <w:sz w:val="20"/>
          <w:szCs w:val="20"/>
        </w:rPr>
        <w:t>, these assets</w:t>
      </w:r>
      <w:r w:rsidR="00302FB4" w:rsidRPr="5E142495">
        <w:rPr>
          <w:rFonts w:ascii="Arial" w:hAnsi="Arial" w:cs="Arial"/>
          <w:sz w:val="20"/>
          <w:szCs w:val="20"/>
        </w:rPr>
        <w:t xml:space="preserve"> have </w:t>
      </w:r>
      <w:r w:rsidR="534BB75F" w:rsidRPr="5E142495">
        <w:rPr>
          <w:rFonts w:ascii="Arial" w:hAnsi="Arial" w:cs="Arial"/>
          <w:sz w:val="20"/>
          <w:szCs w:val="20"/>
        </w:rPr>
        <w:t xml:space="preserve">increasingly </w:t>
      </w:r>
      <w:r w:rsidR="00302FB4" w:rsidRPr="5E142495">
        <w:rPr>
          <w:rFonts w:ascii="Arial" w:hAnsi="Arial" w:cs="Arial"/>
          <w:sz w:val="20"/>
          <w:szCs w:val="20"/>
        </w:rPr>
        <w:t xml:space="preserve">become a </w:t>
      </w:r>
      <w:r w:rsidR="00D72FC7" w:rsidRPr="5E142495">
        <w:rPr>
          <w:rFonts w:ascii="Arial" w:hAnsi="Arial" w:cs="Arial"/>
          <w:sz w:val="20"/>
          <w:szCs w:val="20"/>
          <w:shd w:val="clear" w:color="auto" w:fill="FFFFFF"/>
        </w:rPr>
        <w:t>target</w:t>
      </w:r>
      <w:r w:rsidR="00916F12" w:rsidRPr="5E142495">
        <w:rPr>
          <w:rFonts w:ascii="Arial" w:hAnsi="Arial" w:cs="Arial"/>
          <w:sz w:val="20"/>
          <w:szCs w:val="20"/>
          <w:shd w:val="clear" w:color="auto" w:fill="FFFFFF"/>
        </w:rPr>
        <w:t xml:space="preserve"> for espionage, </w:t>
      </w:r>
      <w:r w:rsidR="00DA60E4" w:rsidRPr="5E142495">
        <w:rPr>
          <w:rFonts w:ascii="Arial" w:hAnsi="Arial" w:cs="Arial"/>
          <w:sz w:val="20"/>
          <w:szCs w:val="20"/>
          <w:shd w:val="clear" w:color="auto" w:fill="FFFFFF"/>
        </w:rPr>
        <w:t>sabotage,</w:t>
      </w:r>
      <w:r w:rsidR="00916F12" w:rsidRPr="5E142495">
        <w:rPr>
          <w:rFonts w:ascii="Arial" w:hAnsi="Arial" w:cs="Arial"/>
          <w:sz w:val="20"/>
          <w:szCs w:val="20"/>
          <w:shd w:val="clear" w:color="auto" w:fill="FFFFFF"/>
        </w:rPr>
        <w:t xml:space="preserve"> and interference activity</w:t>
      </w:r>
      <w:r w:rsidR="009149AE" w:rsidRPr="5E142495">
        <w:rPr>
          <w:rFonts w:ascii="Arial" w:hAnsi="Arial" w:cs="Arial"/>
          <w:sz w:val="20"/>
          <w:szCs w:val="20"/>
        </w:rPr>
        <w:t xml:space="preserve">. </w:t>
      </w:r>
      <w:r w:rsidR="00CE5E1B" w:rsidRPr="5E142495">
        <w:rPr>
          <w:rFonts w:ascii="Arial" w:hAnsi="Arial" w:cs="Arial"/>
          <w:sz w:val="20"/>
          <w:szCs w:val="20"/>
        </w:rPr>
        <w:t>In instances where this information is</w:t>
      </w:r>
      <w:r w:rsidR="009149AE" w:rsidRPr="5E142495">
        <w:rPr>
          <w:rFonts w:ascii="Arial" w:hAnsi="Arial" w:cs="Arial"/>
          <w:sz w:val="20"/>
          <w:szCs w:val="20"/>
        </w:rPr>
        <w:t xml:space="preserve"> unlawfully accessed, sensitive </w:t>
      </w:r>
      <w:r w:rsidR="001E0CE2" w:rsidRPr="5E142495">
        <w:rPr>
          <w:rFonts w:ascii="Arial" w:hAnsi="Arial" w:cs="Arial"/>
          <w:sz w:val="20"/>
          <w:szCs w:val="20"/>
        </w:rPr>
        <w:t>data,</w:t>
      </w:r>
      <w:r w:rsidR="009149AE" w:rsidRPr="5E142495">
        <w:rPr>
          <w:rFonts w:ascii="Arial" w:hAnsi="Arial" w:cs="Arial"/>
          <w:sz w:val="20"/>
          <w:szCs w:val="20"/>
        </w:rPr>
        <w:t xml:space="preserve"> law enforcement operations</w:t>
      </w:r>
      <w:r w:rsidR="001E0CE2" w:rsidRPr="5E142495">
        <w:rPr>
          <w:rFonts w:ascii="Arial" w:hAnsi="Arial" w:cs="Arial"/>
          <w:sz w:val="20"/>
          <w:szCs w:val="20"/>
        </w:rPr>
        <w:t>, and</w:t>
      </w:r>
      <w:r w:rsidR="009149AE" w:rsidRPr="5E142495">
        <w:rPr>
          <w:rFonts w:ascii="Arial" w:hAnsi="Arial" w:cs="Arial"/>
          <w:sz w:val="20"/>
          <w:szCs w:val="20"/>
        </w:rPr>
        <w:t xml:space="preserve"> the location of persons</w:t>
      </w:r>
      <w:r w:rsidR="001E0CE2" w:rsidRPr="5E142495">
        <w:rPr>
          <w:rFonts w:ascii="Arial" w:hAnsi="Arial" w:cs="Arial"/>
          <w:sz w:val="20"/>
          <w:szCs w:val="20"/>
        </w:rPr>
        <w:t xml:space="preserve"> could </w:t>
      </w:r>
      <w:r w:rsidR="00AB7856" w:rsidRPr="5E142495">
        <w:rPr>
          <w:rFonts w:ascii="Arial" w:hAnsi="Arial" w:cs="Arial"/>
          <w:sz w:val="20"/>
          <w:szCs w:val="20"/>
        </w:rPr>
        <w:t>be exposed</w:t>
      </w:r>
      <w:r w:rsidR="009149AE" w:rsidRPr="5E142495">
        <w:rPr>
          <w:rFonts w:ascii="Arial" w:hAnsi="Arial" w:cs="Arial"/>
          <w:sz w:val="20"/>
          <w:szCs w:val="20"/>
        </w:rPr>
        <w:t>.</w:t>
      </w:r>
      <w:r w:rsidR="00F22725" w:rsidRPr="5E142495">
        <w:rPr>
          <w:rStyle w:val="FootnoteReference"/>
          <w:rFonts w:ascii="Arial" w:hAnsi="Arial" w:cs="Arial"/>
          <w:sz w:val="20"/>
          <w:szCs w:val="20"/>
        </w:rPr>
        <w:footnoteReference w:id="15"/>
      </w:r>
      <w:r w:rsidR="009149AE" w:rsidRPr="5E142495">
        <w:rPr>
          <w:rFonts w:ascii="Arial" w:hAnsi="Arial" w:cs="Arial"/>
          <w:sz w:val="20"/>
          <w:szCs w:val="20"/>
        </w:rPr>
        <w:t xml:space="preserve"> </w:t>
      </w:r>
    </w:p>
    <w:p w14:paraId="28A333A8" w14:textId="2F0B295C" w:rsidR="00600CAB" w:rsidRPr="0079597C" w:rsidRDefault="00A61053" w:rsidP="5E142495">
      <w:pPr>
        <w:pStyle w:val="BodyText"/>
        <w:rPr>
          <w:rFonts w:ascii="Arial" w:hAnsi="Arial" w:cs="Arial"/>
          <w:sz w:val="20"/>
          <w:szCs w:val="20"/>
        </w:rPr>
      </w:pPr>
      <w:r w:rsidRPr="5E142495">
        <w:rPr>
          <w:rFonts w:ascii="Arial" w:hAnsi="Arial" w:cs="Arial"/>
          <w:sz w:val="20"/>
          <w:szCs w:val="20"/>
        </w:rPr>
        <w:t xml:space="preserve">To </w:t>
      </w:r>
      <w:r w:rsidR="00020FEC" w:rsidRPr="5E142495">
        <w:rPr>
          <w:rFonts w:ascii="Arial" w:hAnsi="Arial" w:cs="Arial"/>
          <w:sz w:val="20"/>
          <w:szCs w:val="20"/>
        </w:rPr>
        <w:t>support the assessment of</w:t>
      </w:r>
      <w:r w:rsidRPr="5E142495">
        <w:rPr>
          <w:rFonts w:ascii="Arial" w:hAnsi="Arial" w:cs="Arial"/>
          <w:sz w:val="20"/>
          <w:szCs w:val="20"/>
        </w:rPr>
        <w:t xml:space="preserve"> the potential direct and indirect economic impacts of an incident to a critical telecommunications asset on the Australian economy</w:t>
      </w:r>
      <w:r w:rsidR="00CB7BE8" w:rsidRPr="5E142495">
        <w:rPr>
          <w:rFonts w:ascii="Arial" w:hAnsi="Arial" w:cs="Arial"/>
          <w:sz w:val="20"/>
          <w:szCs w:val="20"/>
        </w:rPr>
        <w:t>,</w:t>
      </w:r>
      <w:r w:rsidR="00237C1A" w:rsidRPr="5E142495">
        <w:rPr>
          <w:rFonts w:ascii="Arial" w:hAnsi="Arial" w:cs="Arial"/>
          <w:sz w:val="20"/>
          <w:szCs w:val="20"/>
        </w:rPr>
        <w:t xml:space="preserve"> a series of case studies were included in </w:t>
      </w:r>
      <w:r w:rsidR="00A02D37" w:rsidRPr="5E142495">
        <w:rPr>
          <w:rFonts w:ascii="Arial" w:hAnsi="Arial" w:cs="Arial"/>
          <w:sz w:val="20"/>
          <w:szCs w:val="20"/>
        </w:rPr>
        <w:t xml:space="preserve">this </w:t>
      </w:r>
      <w:r w:rsidR="00C852A2">
        <w:rPr>
          <w:rFonts w:ascii="Arial" w:hAnsi="Arial" w:cs="Arial"/>
          <w:sz w:val="20"/>
          <w:szCs w:val="20"/>
        </w:rPr>
        <w:t>Supplementary Analysis</w:t>
      </w:r>
      <w:r w:rsidR="00237C1A" w:rsidRPr="5E142495">
        <w:rPr>
          <w:rFonts w:ascii="Arial" w:hAnsi="Arial" w:cs="Arial"/>
          <w:sz w:val="20"/>
          <w:szCs w:val="20"/>
        </w:rPr>
        <w:t xml:space="preserve">. </w:t>
      </w:r>
      <w:r w:rsidR="00600CAB" w:rsidRPr="5E142495">
        <w:rPr>
          <w:rFonts w:ascii="Arial" w:hAnsi="Arial" w:cs="Arial"/>
          <w:sz w:val="20"/>
          <w:szCs w:val="20"/>
        </w:rPr>
        <w:t xml:space="preserve">These case studies highlight that telecommunications outages inflict substantial direct and indirect costs on firms and households alike. Businesses bore the brunt of the damage across all case studies, mostly through lost income and productivity. It </w:t>
      </w:r>
      <w:r w:rsidR="006F384B" w:rsidRPr="5E142495">
        <w:rPr>
          <w:rFonts w:ascii="Arial" w:hAnsi="Arial" w:cs="Arial"/>
          <w:sz w:val="20"/>
          <w:szCs w:val="20"/>
        </w:rPr>
        <w:t xml:space="preserve">is clear from the case studies noted above that </w:t>
      </w:r>
      <w:r w:rsidR="00600CAB" w:rsidRPr="5E142495">
        <w:rPr>
          <w:rFonts w:ascii="Arial" w:hAnsi="Arial" w:cs="Arial"/>
          <w:sz w:val="20"/>
          <w:szCs w:val="20"/>
        </w:rPr>
        <w:t xml:space="preserve">industrial and commercial sectors </w:t>
      </w:r>
      <w:r w:rsidR="009D0BE0" w:rsidRPr="5E142495">
        <w:rPr>
          <w:rFonts w:ascii="Arial" w:hAnsi="Arial" w:cs="Arial"/>
          <w:sz w:val="20"/>
          <w:szCs w:val="20"/>
        </w:rPr>
        <w:t xml:space="preserve">can be significantly impacted </w:t>
      </w:r>
      <w:r w:rsidR="00600CAB" w:rsidRPr="5E142495">
        <w:rPr>
          <w:rFonts w:ascii="Arial" w:hAnsi="Arial" w:cs="Arial"/>
          <w:sz w:val="20"/>
          <w:szCs w:val="20"/>
        </w:rPr>
        <w:t>by telecommunication outages.</w:t>
      </w:r>
    </w:p>
    <w:p w14:paraId="0C088472" w14:textId="35C28869" w:rsidR="00D509E8" w:rsidRPr="0079597C" w:rsidRDefault="00D509E8" w:rsidP="5E142495">
      <w:pPr>
        <w:pStyle w:val="BodyText"/>
        <w:rPr>
          <w:rFonts w:ascii="Arial" w:hAnsi="Arial" w:cs="Arial"/>
          <w:sz w:val="20"/>
          <w:szCs w:val="20"/>
        </w:rPr>
      </w:pPr>
      <w:r w:rsidRPr="5E142495">
        <w:rPr>
          <w:rFonts w:ascii="Arial" w:hAnsi="Arial" w:cs="Arial"/>
          <w:sz w:val="20"/>
          <w:szCs w:val="20"/>
        </w:rPr>
        <w:t xml:space="preserve">For the purposes of </w:t>
      </w:r>
      <w:r w:rsidR="004478F7" w:rsidRPr="5E142495">
        <w:rPr>
          <w:rFonts w:ascii="Arial" w:hAnsi="Arial" w:cs="Arial"/>
          <w:sz w:val="20"/>
          <w:szCs w:val="20"/>
        </w:rPr>
        <w:t xml:space="preserve">estimating </w:t>
      </w:r>
      <w:r w:rsidRPr="5E142495">
        <w:rPr>
          <w:rFonts w:ascii="Arial" w:hAnsi="Arial" w:cs="Arial"/>
          <w:sz w:val="20"/>
          <w:szCs w:val="20"/>
        </w:rPr>
        <w:t xml:space="preserve">the cost </w:t>
      </w:r>
      <w:r w:rsidR="007D562F" w:rsidRPr="5E142495">
        <w:rPr>
          <w:rFonts w:ascii="Arial" w:hAnsi="Arial" w:cs="Arial"/>
          <w:sz w:val="20"/>
          <w:szCs w:val="20"/>
        </w:rPr>
        <w:t xml:space="preserve">of a range of </w:t>
      </w:r>
      <w:r w:rsidRPr="5E142495">
        <w:rPr>
          <w:rFonts w:ascii="Arial" w:hAnsi="Arial" w:cs="Arial"/>
          <w:sz w:val="20"/>
          <w:szCs w:val="20"/>
        </w:rPr>
        <w:t xml:space="preserve">future </w:t>
      </w:r>
      <w:r w:rsidR="007D562F" w:rsidRPr="5E142495">
        <w:rPr>
          <w:rFonts w:ascii="Arial" w:hAnsi="Arial" w:cs="Arial"/>
          <w:sz w:val="20"/>
          <w:szCs w:val="20"/>
        </w:rPr>
        <w:t xml:space="preserve">avoided </w:t>
      </w:r>
      <w:r w:rsidRPr="5E142495">
        <w:rPr>
          <w:rFonts w:ascii="Arial" w:hAnsi="Arial" w:cs="Arial"/>
          <w:sz w:val="20"/>
          <w:szCs w:val="20"/>
        </w:rPr>
        <w:t xml:space="preserve">incidents in Australia, </w:t>
      </w:r>
      <w:r w:rsidR="00775AB7">
        <w:rPr>
          <w:rFonts w:ascii="Arial" w:hAnsi="Arial" w:cs="Arial"/>
          <w:sz w:val="20"/>
          <w:szCs w:val="20"/>
        </w:rPr>
        <w:t>an incident impacting a ‘Major T</w:t>
      </w:r>
      <w:r w:rsidR="0095651F">
        <w:rPr>
          <w:rFonts w:ascii="Arial" w:hAnsi="Arial" w:cs="Arial"/>
          <w:sz w:val="20"/>
          <w:szCs w:val="20"/>
        </w:rPr>
        <w:t xml:space="preserve">elecommunications </w:t>
      </w:r>
      <w:r w:rsidR="00775AB7">
        <w:rPr>
          <w:rFonts w:ascii="Arial" w:hAnsi="Arial" w:cs="Arial"/>
          <w:sz w:val="20"/>
          <w:szCs w:val="20"/>
        </w:rPr>
        <w:t>Carrier’</w:t>
      </w:r>
      <w:r w:rsidR="0095651F">
        <w:rPr>
          <w:rFonts w:ascii="Arial" w:hAnsi="Arial" w:cs="Arial"/>
          <w:sz w:val="20"/>
          <w:szCs w:val="20"/>
        </w:rPr>
        <w:t xml:space="preserve"> was used.</w:t>
      </w:r>
      <w:r w:rsidRPr="5E142495">
        <w:rPr>
          <w:rFonts w:ascii="Arial" w:hAnsi="Arial" w:cs="Arial"/>
          <w:sz w:val="20"/>
          <w:szCs w:val="20"/>
        </w:rPr>
        <w:t xml:space="preserve"> Given the magnitude of damages, this incident is considered a </w:t>
      </w:r>
      <w:r w:rsidR="00B272B7" w:rsidRPr="5E142495">
        <w:rPr>
          <w:rFonts w:ascii="Arial" w:hAnsi="Arial" w:cs="Arial"/>
          <w:sz w:val="20"/>
          <w:szCs w:val="20"/>
        </w:rPr>
        <w:t xml:space="preserve">moderate </w:t>
      </w:r>
      <w:r w:rsidRPr="5E142495">
        <w:rPr>
          <w:rFonts w:ascii="Arial" w:hAnsi="Arial" w:cs="Arial"/>
          <w:sz w:val="20"/>
          <w:szCs w:val="20"/>
        </w:rPr>
        <w:t xml:space="preserve">risk scenario. The use of an </w:t>
      </w:r>
      <w:r w:rsidR="0095651F">
        <w:rPr>
          <w:rFonts w:ascii="Arial" w:hAnsi="Arial" w:cs="Arial"/>
          <w:sz w:val="20"/>
          <w:szCs w:val="20"/>
        </w:rPr>
        <w:t xml:space="preserve">incident modelled on an </w:t>
      </w:r>
      <w:r w:rsidRPr="5E142495">
        <w:rPr>
          <w:rFonts w:ascii="Arial" w:hAnsi="Arial" w:cs="Arial"/>
          <w:sz w:val="20"/>
          <w:szCs w:val="20"/>
        </w:rPr>
        <w:t xml:space="preserve">actual event </w:t>
      </w:r>
      <w:r w:rsidR="000C237A" w:rsidRPr="5E142495">
        <w:rPr>
          <w:rFonts w:ascii="Arial" w:hAnsi="Arial" w:cs="Arial"/>
          <w:sz w:val="20"/>
          <w:szCs w:val="20"/>
        </w:rPr>
        <w:t xml:space="preserve">to define a </w:t>
      </w:r>
      <w:r w:rsidR="005525FC" w:rsidRPr="5E142495">
        <w:rPr>
          <w:rFonts w:ascii="Arial" w:hAnsi="Arial" w:cs="Arial"/>
          <w:sz w:val="20"/>
          <w:szCs w:val="20"/>
        </w:rPr>
        <w:t xml:space="preserve">baseline </w:t>
      </w:r>
      <w:r w:rsidRPr="5E142495">
        <w:rPr>
          <w:rFonts w:ascii="Arial" w:hAnsi="Arial" w:cs="Arial"/>
          <w:sz w:val="20"/>
          <w:szCs w:val="20"/>
        </w:rPr>
        <w:t>risk point of comparison is important because it ensures the benefits analysis is grounded in reality</w:t>
      </w:r>
      <w:r w:rsidR="002F5F28" w:rsidRPr="5E142495">
        <w:rPr>
          <w:rFonts w:ascii="Arial" w:hAnsi="Arial" w:cs="Arial"/>
          <w:sz w:val="20"/>
          <w:szCs w:val="20"/>
        </w:rPr>
        <w:t>.</w:t>
      </w:r>
      <w:r w:rsidRPr="5E142495">
        <w:rPr>
          <w:rFonts w:ascii="Arial" w:hAnsi="Arial" w:cs="Arial"/>
          <w:sz w:val="20"/>
          <w:szCs w:val="20"/>
        </w:rPr>
        <w:t xml:space="preserve"> </w:t>
      </w:r>
    </w:p>
    <w:p w14:paraId="3DCDC4D5" w14:textId="71034C51" w:rsidR="00D509E8" w:rsidRPr="0079597C" w:rsidRDefault="005724AC" w:rsidP="00AF56F0">
      <w:pPr>
        <w:pStyle w:val="BodyText"/>
        <w:rPr>
          <w:rFonts w:ascii="Arial" w:hAnsi="Arial" w:cs="Arial"/>
          <w:sz w:val="20"/>
          <w:szCs w:val="20"/>
        </w:rPr>
      </w:pPr>
      <w:r>
        <w:rPr>
          <w:rFonts w:ascii="Arial" w:hAnsi="Arial" w:cs="Arial"/>
          <w:sz w:val="20"/>
          <w:szCs w:val="20"/>
        </w:rPr>
        <w:t>Based on this, a</w:t>
      </w:r>
      <w:r w:rsidR="00D509E8" w:rsidRPr="0079597C">
        <w:rPr>
          <w:rFonts w:ascii="Arial" w:hAnsi="Arial" w:cs="Arial"/>
          <w:sz w:val="20"/>
          <w:szCs w:val="20"/>
        </w:rPr>
        <w:t xml:space="preserve"> framework for considering the potential impacts of Australian </w:t>
      </w:r>
      <w:r w:rsidR="00583566">
        <w:rPr>
          <w:rFonts w:ascii="Arial" w:hAnsi="Arial" w:cs="Arial"/>
          <w:sz w:val="20"/>
          <w:szCs w:val="20"/>
        </w:rPr>
        <w:t>telecommunication asset</w:t>
      </w:r>
      <w:r w:rsidR="00D509E8" w:rsidRPr="0079597C">
        <w:rPr>
          <w:rFonts w:ascii="Arial" w:hAnsi="Arial" w:cs="Arial"/>
          <w:sz w:val="20"/>
          <w:szCs w:val="20"/>
        </w:rPr>
        <w:t xml:space="preserve"> outages following failure of critical infrastructure is provided in the table below.</w:t>
      </w:r>
    </w:p>
    <w:tbl>
      <w:tblPr>
        <w:tblStyle w:val="TableGrid"/>
        <w:tblW w:w="5000" w:type="pct"/>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ayout w:type="fixed"/>
        <w:tblLook w:val="04A0" w:firstRow="1" w:lastRow="0" w:firstColumn="1" w:lastColumn="0" w:noHBand="0" w:noVBand="1"/>
      </w:tblPr>
      <w:tblGrid>
        <w:gridCol w:w="1383"/>
        <w:gridCol w:w="36"/>
        <w:gridCol w:w="2511"/>
        <w:gridCol w:w="25"/>
        <w:gridCol w:w="2522"/>
        <w:gridCol w:w="14"/>
        <w:gridCol w:w="2535"/>
      </w:tblGrid>
      <w:tr w:rsidR="00241F87" w:rsidRPr="000B323A" w14:paraId="7F383380" w14:textId="77777777" w:rsidTr="00030761">
        <w:trPr>
          <w:trHeight w:val="349"/>
        </w:trPr>
        <w:tc>
          <w:tcPr>
            <w:tcW w:w="786" w:type="pct"/>
            <w:gridSpan w:val="2"/>
            <w:shd w:val="clear" w:color="auto" w:fill="284B98"/>
            <w:vAlign w:val="center"/>
          </w:tcPr>
          <w:p w14:paraId="1A48C10F" w14:textId="55262334" w:rsidR="00583566" w:rsidRPr="000B323A" w:rsidRDefault="00583566" w:rsidP="009359D3">
            <w:pPr>
              <w:spacing w:before="40" w:after="40"/>
              <w:rPr>
                <w:rFonts w:ascii="Arial" w:hAnsi="Arial" w:cs="Arial"/>
                <w:b/>
                <w:color w:val="FFFFFF" w:themeColor="background1"/>
                <w:sz w:val="20"/>
                <w:szCs w:val="20"/>
              </w:rPr>
            </w:pPr>
          </w:p>
        </w:tc>
        <w:tc>
          <w:tcPr>
            <w:tcW w:w="1405" w:type="pct"/>
            <w:gridSpan w:val="2"/>
            <w:shd w:val="clear" w:color="auto" w:fill="284B98"/>
            <w:vAlign w:val="center"/>
          </w:tcPr>
          <w:p w14:paraId="082A06BD" w14:textId="0BD15812" w:rsidR="00FF5752" w:rsidRPr="000B323A" w:rsidRDefault="5EEBE05A" w:rsidP="3961DAA9">
            <w:pPr>
              <w:spacing w:before="40" w:after="40"/>
              <w:jc w:val="center"/>
              <w:rPr>
                <w:rFonts w:ascii="Arial" w:hAnsi="Arial" w:cs="Arial"/>
                <w:b/>
                <w:bCs/>
                <w:color w:val="FFFFFF" w:themeColor="background1"/>
                <w:sz w:val="20"/>
                <w:szCs w:val="20"/>
              </w:rPr>
            </w:pPr>
            <w:r w:rsidRPr="35731005">
              <w:rPr>
                <w:rFonts w:ascii="Arial" w:hAnsi="Arial" w:cs="Arial"/>
                <w:b/>
                <w:bCs/>
                <w:color w:val="FFFFFF" w:themeColor="background1"/>
                <w:sz w:val="20"/>
                <w:szCs w:val="20"/>
              </w:rPr>
              <w:t>Severe scenario</w:t>
            </w:r>
          </w:p>
        </w:tc>
        <w:tc>
          <w:tcPr>
            <w:tcW w:w="1405" w:type="pct"/>
            <w:gridSpan w:val="2"/>
            <w:shd w:val="clear" w:color="auto" w:fill="284B98"/>
            <w:vAlign w:val="center"/>
          </w:tcPr>
          <w:p w14:paraId="4F512B5E" w14:textId="622FA926" w:rsidR="00FF5752" w:rsidRPr="000B323A" w:rsidRDefault="0020209D" w:rsidP="009359D3">
            <w:pPr>
              <w:spacing w:before="40" w:after="40"/>
              <w:jc w:val="center"/>
              <w:rPr>
                <w:rFonts w:ascii="Arial" w:hAnsi="Arial" w:cs="Arial"/>
                <w:b/>
                <w:color w:val="FFFFFF" w:themeColor="background1"/>
                <w:sz w:val="20"/>
                <w:szCs w:val="20"/>
              </w:rPr>
            </w:pPr>
            <w:r>
              <w:rPr>
                <w:rFonts w:ascii="Arial" w:hAnsi="Arial" w:cs="Arial"/>
                <w:b/>
                <w:color w:val="FFFFFF" w:themeColor="background1"/>
                <w:sz w:val="20"/>
                <w:szCs w:val="20"/>
              </w:rPr>
              <w:t>Moderate scenario</w:t>
            </w:r>
          </w:p>
        </w:tc>
        <w:tc>
          <w:tcPr>
            <w:tcW w:w="1404" w:type="pct"/>
            <w:shd w:val="clear" w:color="auto" w:fill="284B98"/>
            <w:vAlign w:val="center"/>
          </w:tcPr>
          <w:p w14:paraId="77F9A384" w14:textId="077B3E37" w:rsidR="00FF5752" w:rsidRPr="000B323A" w:rsidRDefault="002E6207" w:rsidP="009359D3">
            <w:pPr>
              <w:spacing w:before="40" w:after="40"/>
              <w:jc w:val="center"/>
              <w:rPr>
                <w:rFonts w:ascii="Arial" w:hAnsi="Arial" w:cs="Arial"/>
                <w:b/>
                <w:color w:val="FFFFFF" w:themeColor="background1"/>
                <w:sz w:val="20"/>
                <w:szCs w:val="20"/>
              </w:rPr>
            </w:pPr>
            <w:r>
              <w:rPr>
                <w:rFonts w:ascii="Arial" w:hAnsi="Arial" w:cs="Arial"/>
                <w:b/>
                <w:color w:val="FFFFFF" w:themeColor="background1"/>
                <w:sz w:val="20"/>
                <w:szCs w:val="20"/>
              </w:rPr>
              <w:t>Low scenario</w:t>
            </w:r>
          </w:p>
        </w:tc>
      </w:tr>
      <w:tr w:rsidR="00A4005B" w:rsidRPr="000B323A" w14:paraId="29027E81" w14:textId="77777777" w:rsidTr="00030761">
        <w:trPr>
          <w:trHeight w:val="746"/>
        </w:trPr>
        <w:tc>
          <w:tcPr>
            <w:tcW w:w="766" w:type="pct"/>
            <w:shd w:val="clear" w:color="auto" w:fill="284B98"/>
            <w:vAlign w:val="center"/>
          </w:tcPr>
          <w:p w14:paraId="2A1CB21B" w14:textId="25AF88C0" w:rsidR="00583566" w:rsidRPr="000B323A" w:rsidRDefault="002E6207" w:rsidP="009359D3">
            <w:pPr>
              <w:spacing w:before="40" w:after="40"/>
              <w:jc w:val="center"/>
              <w:rPr>
                <w:rFonts w:ascii="Arial" w:hAnsi="Arial" w:cs="Arial"/>
                <w:b/>
                <w:color w:val="FFFFFF" w:themeColor="background1"/>
                <w:sz w:val="20"/>
                <w:szCs w:val="20"/>
              </w:rPr>
            </w:pPr>
            <w:r>
              <w:rPr>
                <w:rFonts w:ascii="Arial" w:hAnsi="Arial" w:cs="Arial"/>
                <w:b/>
                <w:color w:val="FFFFFF" w:themeColor="background1"/>
                <w:sz w:val="20"/>
                <w:szCs w:val="20"/>
              </w:rPr>
              <w:t>Intensity of event</w:t>
            </w:r>
          </w:p>
        </w:tc>
        <w:tc>
          <w:tcPr>
            <w:tcW w:w="1411" w:type="pct"/>
            <w:gridSpan w:val="2"/>
            <w:shd w:val="clear" w:color="auto" w:fill="D9E2F3" w:themeFill="accent1" w:themeFillTint="33"/>
            <w:vAlign w:val="center"/>
          </w:tcPr>
          <w:p w14:paraId="29E99259" w14:textId="4F7E07EE" w:rsidR="00583566" w:rsidRPr="000B323A" w:rsidRDefault="004B4987" w:rsidP="009359D3">
            <w:pPr>
              <w:spacing w:before="40" w:after="40"/>
              <w:jc w:val="center"/>
              <w:rPr>
                <w:rFonts w:ascii="Arial" w:hAnsi="Arial" w:cs="Arial"/>
                <w:sz w:val="20"/>
                <w:szCs w:val="20"/>
              </w:rPr>
            </w:pPr>
            <w:r>
              <w:rPr>
                <w:rFonts w:ascii="Arial" w:hAnsi="Arial" w:cs="Arial"/>
                <w:sz w:val="20"/>
                <w:szCs w:val="20"/>
              </w:rPr>
              <w:t>200</w:t>
            </w:r>
            <w:r w:rsidR="00F720E5">
              <w:rPr>
                <w:rFonts w:ascii="Arial" w:hAnsi="Arial" w:cs="Arial"/>
                <w:sz w:val="20"/>
                <w:szCs w:val="20"/>
              </w:rPr>
              <w:t>% of moderate scenario</w:t>
            </w:r>
          </w:p>
        </w:tc>
        <w:tc>
          <w:tcPr>
            <w:tcW w:w="1411" w:type="pct"/>
            <w:gridSpan w:val="2"/>
            <w:shd w:val="clear" w:color="auto" w:fill="D9E2F3" w:themeFill="accent1" w:themeFillTint="33"/>
            <w:vAlign w:val="center"/>
          </w:tcPr>
          <w:p w14:paraId="00A02053" w14:textId="0379E5AD" w:rsidR="00583566" w:rsidRPr="000B323A" w:rsidRDefault="001A273F" w:rsidP="009359D3">
            <w:pPr>
              <w:spacing w:before="40" w:after="40"/>
              <w:jc w:val="center"/>
              <w:rPr>
                <w:rFonts w:ascii="Arial" w:hAnsi="Arial" w:cs="Arial"/>
                <w:sz w:val="20"/>
                <w:szCs w:val="20"/>
              </w:rPr>
            </w:pPr>
            <w:r>
              <w:rPr>
                <w:rFonts w:ascii="Arial" w:hAnsi="Arial" w:cs="Arial"/>
                <w:sz w:val="20"/>
                <w:szCs w:val="20"/>
              </w:rPr>
              <w:t>Incident impacting Major Telecommunications Carrier</w:t>
            </w:r>
          </w:p>
        </w:tc>
        <w:tc>
          <w:tcPr>
            <w:tcW w:w="1412" w:type="pct"/>
            <w:gridSpan w:val="2"/>
            <w:shd w:val="clear" w:color="auto" w:fill="D9E2F3" w:themeFill="accent1" w:themeFillTint="33"/>
            <w:vAlign w:val="center"/>
          </w:tcPr>
          <w:p w14:paraId="1A04C847" w14:textId="78B5E40D" w:rsidR="00583566" w:rsidRPr="000B323A" w:rsidRDefault="00F720E5" w:rsidP="009359D3">
            <w:pPr>
              <w:spacing w:before="40" w:after="40"/>
              <w:jc w:val="center"/>
              <w:rPr>
                <w:rFonts w:ascii="Arial" w:hAnsi="Arial" w:cs="Arial"/>
                <w:sz w:val="20"/>
                <w:szCs w:val="20"/>
              </w:rPr>
            </w:pPr>
            <w:r>
              <w:rPr>
                <w:rFonts w:ascii="Arial" w:hAnsi="Arial" w:cs="Arial"/>
                <w:sz w:val="20"/>
                <w:szCs w:val="20"/>
              </w:rPr>
              <w:t>50</w:t>
            </w:r>
            <w:r w:rsidR="00CE7D15">
              <w:rPr>
                <w:rFonts w:ascii="Arial" w:hAnsi="Arial" w:cs="Arial"/>
                <w:sz w:val="20"/>
                <w:szCs w:val="20"/>
              </w:rPr>
              <w:t xml:space="preserve">% of </w:t>
            </w:r>
            <w:r>
              <w:rPr>
                <w:rFonts w:ascii="Arial" w:hAnsi="Arial" w:cs="Arial"/>
                <w:sz w:val="20"/>
                <w:szCs w:val="20"/>
              </w:rPr>
              <w:t xml:space="preserve">moderate </w:t>
            </w:r>
            <w:r w:rsidR="00CE7D15">
              <w:rPr>
                <w:rFonts w:ascii="Arial" w:hAnsi="Arial" w:cs="Arial"/>
                <w:sz w:val="20"/>
                <w:szCs w:val="20"/>
              </w:rPr>
              <w:t>scenario</w:t>
            </w:r>
          </w:p>
        </w:tc>
      </w:tr>
    </w:tbl>
    <w:p w14:paraId="51C76E01" w14:textId="1D696440" w:rsidR="001E67D5" w:rsidRPr="0079597C" w:rsidRDefault="00D509E8" w:rsidP="001E67D5">
      <w:pPr>
        <w:pStyle w:val="BodyText"/>
        <w:rPr>
          <w:rFonts w:ascii="Arial" w:hAnsi="Arial" w:cs="Arial"/>
          <w:sz w:val="20"/>
          <w:szCs w:val="20"/>
        </w:rPr>
      </w:pPr>
      <w:r w:rsidRPr="5E142495">
        <w:rPr>
          <w:rFonts w:ascii="Arial" w:hAnsi="Arial" w:cs="Arial"/>
          <w:sz w:val="20"/>
          <w:szCs w:val="20"/>
        </w:rPr>
        <w:t xml:space="preserve">As noted above, the economic impact of an incident will vary due to a range of factors including the location </w:t>
      </w:r>
      <w:r w:rsidR="00137332">
        <w:rPr>
          <w:rFonts w:ascii="Arial" w:hAnsi="Arial" w:cs="Arial"/>
          <w:sz w:val="20"/>
          <w:szCs w:val="20"/>
        </w:rPr>
        <w:t>and type of incident</w:t>
      </w:r>
      <w:r w:rsidRPr="5E142495">
        <w:rPr>
          <w:rFonts w:ascii="Arial" w:hAnsi="Arial" w:cs="Arial"/>
          <w:sz w:val="20"/>
          <w:szCs w:val="20"/>
        </w:rPr>
        <w:t>, as well as</w:t>
      </w:r>
      <w:r w:rsidR="0BD76935" w:rsidRPr="5E142495">
        <w:rPr>
          <w:rFonts w:ascii="Arial" w:hAnsi="Arial" w:cs="Arial"/>
          <w:sz w:val="20"/>
          <w:szCs w:val="20"/>
        </w:rPr>
        <w:t xml:space="preserve"> its</w:t>
      </w:r>
      <w:r w:rsidRPr="5E142495">
        <w:rPr>
          <w:rFonts w:ascii="Arial" w:hAnsi="Arial" w:cs="Arial"/>
          <w:sz w:val="20"/>
          <w:szCs w:val="20"/>
        </w:rPr>
        <w:t xml:space="preserve"> timing and duration. While an incident with a much greater impact than </w:t>
      </w:r>
      <w:r w:rsidR="004647BB" w:rsidRPr="5E142495">
        <w:rPr>
          <w:rFonts w:ascii="Arial" w:hAnsi="Arial" w:cs="Arial"/>
          <w:sz w:val="20"/>
          <w:szCs w:val="20"/>
        </w:rPr>
        <w:t xml:space="preserve">the </w:t>
      </w:r>
      <w:r w:rsidRPr="5E142495">
        <w:rPr>
          <w:rFonts w:ascii="Arial" w:hAnsi="Arial" w:cs="Arial"/>
          <w:sz w:val="20"/>
          <w:szCs w:val="20"/>
        </w:rPr>
        <w:t>severe scenario is conceivable, the defined scenarios and subsequent benefits analysis are based on a deliberately conservative approach to ensure the severe scenario remains demonstrably plausible.</w:t>
      </w:r>
      <w:r w:rsidR="00F77F54" w:rsidRPr="5E142495">
        <w:rPr>
          <w:rFonts w:ascii="Arial" w:hAnsi="Arial" w:cs="Arial"/>
          <w:sz w:val="20"/>
          <w:szCs w:val="20"/>
        </w:rPr>
        <w:t xml:space="preserve"> Due to this, this analysis may not incorporate all direct costs incurred by all future incidents. </w:t>
      </w:r>
    </w:p>
    <w:p w14:paraId="475452A7" w14:textId="6CED3C24" w:rsidR="00A60179" w:rsidRDefault="00A60179" w:rsidP="0003076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54"/>
        <w:gridCol w:w="2155"/>
        <w:gridCol w:w="2155"/>
      </w:tblGrid>
      <w:tr w:rsidR="00D94914" w14:paraId="762DEF41" w14:textId="77777777" w:rsidTr="00643C4B">
        <w:tc>
          <w:tcPr>
            <w:tcW w:w="2552" w:type="dxa"/>
            <w:shd w:val="clear" w:color="auto" w:fill="2F5496" w:themeFill="accent1" w:themeFillShade="BF"/>
          </w:tcPr>
          <w:p w14:paraId="6C1E1E8E" w14:textId="77777777" w:rsidR="00F760B1" w:rsidRDefault="00F760B1" w:rsidP="00F760B1">
            <w:pPr>
              <w:pStyle w:val="BodyText"/>
              <w:rPr>
                <w:rFonts w:ascii="Arial" w:hAnsi="Arial" w:cs="Arial"/>
                <w:sz w:val="20"/>
                <w:szCs w:val="20"/>
              </w:rPr>
            </w:pPr>
          </w:p>
        </w:tc>
        <w:tc>
          <w:tcPr>
            <w:tcW w:w="2154" w:type="dxa"/>
            <w:shd w:val="clear" w:color="auto" w:fill="2F5496" w:themeFill="accent1" w:themeFillShade="BF"/>
            <w:vAlign w:val="center"/>
          </w:tcPr>
          <w:p w14:paraId="5A872BEA" w14:textId="5F4A007F" w:rsidR="00F760B1" w:rsidRPr="00F760B1" w:rsidRDefault="001D0BD1" w:rsidP="00643C4B">
            <w:pPr>
              <w:jc w:val="center"/>
              <w:rPr>
                <w:rFonts w:ascii="Arial" w:hAnsi="Arial" w:cs="Arial"/>
                <w:b/>
                <w:color w:val="FFFFFF" w:themeColor="background1"/>
                <w:sz w:val="20"/>
                <w:szCs w:val="20"/>
              </w:rPr>
            </w:pPr>
            <w:r>
              <w:rPr>
                <w:rFonts w:ascii="Arial" w:hAnsi="Arial" w:cs="Arial"/>
                <w:b/>
                <w:color w:val="FFFFFF" w:themeColor="background1"/>
                <w:sz w:val="20"/>
                <w:szCs w:val="20"/>
              </w:rPr>
              <w:t>Scenario 1</w:t>
            </w:r>
            <w:r w:rsidR="00655FAC">
              <w:rPr>
                <w:rFonts w:ascii="Arial" w:hAnsi="Arial" w:cs="Arial"/>
                <w:b/>
                <w:color w:val="FFFFFF" w:themeColor="background1"/>
                <w:sz w:val="20"/>
                <w:szCs w:val="20"/>
              </w:rPr>
              <w:t xml:space="preserve"> </w:t>
            </w:r>
            <w:r w:rsidR="00643C4B">
              <w:rPr>
                <w:rFonts w:ascii="Arial" w:hAnsi="Arial" w:cs="Arial"/>
                <w:b/>
                <w:color w:val="FFFFFF" w:themeColor="background1"/>
                <w:sz w:val="20"/>
                <w:szCs w:val="20"/>
              </w:rPr>
              <w:br/>
            </w:r>
            <w:r w:rsidR="00655FAC">
              <w:rPr>
                <w:rFonts w:ascii="Arial" w:hAnsi="Arial" w:cs="Arial"/>
                <w:b/>
                <w:color w:val="FFFFFF" w:themeColor="background1"/>
                <w:sz w:val="20"/>
                <w:szCs w:val="20"/>
              </w:rPr>
              <w:t>(Severe</w:t>
            </w:r>
            <w:r w:rsidR="00643C4B">
              <w:rPr>
                <w:rFonts w:ascii="Arial" w:hAnsi="Arial" w:cs="Arial"/>
                <w:b/>
                <w:color w:val="FFFFFF" w:themeColor="background1"/>
                <w:sz w:val="20"/>
                <w:szCs w:val="20"/>
              </w:rPr>
              <w:t>)</w:t>
            </w:r>
            <w:r w:rsidR="00655FAC">
              <w:rPr>
                <w:rFonts w:ascii="Arial" w:hAnsi="Arial" w:cs="Arial"/>
                <w:b/>
                <w:color w:val="FFFFFF" w:themeColor="background1"/>
                <w:sz w:val="20"/>
                <w:szCs w:val="20"/>
              </w:rPr>
              <w:t xml:space="preserve"> </w:t>
            </w:r>
            <w:r w:rsidR="00643C4B">
              <w:rPr>
                <w:rFonts w:ascii="Arial" w:hAnsi="Arial" w:cs="Arial"/>
                <w:b/>
                <w:color w:val="FFFFFF" w:themeColor="background1"/>
                <w:sz w:val="20"/>
                <w:szCs w:val="20"/>
              </w:rPr>
              <w:br/>
            </w:r>
            <w:r w:rsidR="00655FAC">
              <w:rPr>
                <w:rFonts w:ascii="Arial" w:hAnsi="Arial" w:cs="Arial"/>
                <w:b/>
                <w:color w:val="FFFFFF" w:themeColor="background1"/>
                <w:sz w:val="20"/>
                <w:szCs w:val="20"/>
              </w:rPr>
              <w:t>$ million</w:t>
            </w:r>
          </w:p>
        </w:tc>
        <w:tc>
          <w:tcPr>
            <w:tcW w:w="2155" w:type="dxa"/>
            <w:shd w:val="clear" w:color="auto" w:fill="2F5496" w:themeFill="accent1" w:themeFillShade="BF"/>
            <w:vAlign w:val="center"/>
          </w:tcPr>
          <w:p w14:paraId="0EAC9371" w14:textId="104F695B" w:rsidR="00F760B1" w:rsidRPr="00F760B1" w:rsidRDefault="001D0BD1" w:rsidP="00643C4B">
            <w:pPr>
              <w:jc w:val="center"/>
              <w:rPr>
                <w:rFonts w:ascii="Arial" w:hAnsi="Arial" w:cs="Arial"/>
                <w:b/>
                <w:color w:val="FFFFFF" w:themeColor="background1"/>
                <w:sz w:val="20"/>
                <w:szCs w:val="20"/>
              </w:rPr>
            </w:pPr>
            <w:r>
              <w:rPr>
                <w:rFonts w:ascii="Arial" w:hAnsi="Arial" w:cs="Arial"/>
                <w:b/>
                <w:color w:val="FFFFFF" w:themeColor="background1"/>
                <w:sz w:val="20"/>
                <w:szCs w:val="20"/>
              </w:rPr>
              <w:t>Scenario 2</w:t>
            </w:r>
            <w:r w:rsidR="00655FAC">
              <w:rPr>
                <w:rFonts w:ascii="Arial" w:hAnsi="Arial" w:cs="Arial"/>
                <w:b/>
                <w:color w:val="FFFFFF" w:themeColor="background1"/>
                <w:sz w:val="20"/>
                <w:szCs w:val="20"/>
              </w:rPr>
              <w:t xml:space="preserve"> (Moderate)</w:t>
            </w:r>
            <w:r w:rsidR="00643C4B">
              <w:rPr>
                <w:rFonts w:ascii="Arial" w:hAnsi="Arial" w:cs="Arial"/>
                <w:b/>
                <w:color w:val="FFFFFF" w:themeColor="background1"/>
                <w:sz w:val="20"/>
                <w:szCs w:val="20"/>
              </w:rPr>
              <w:br/>
            </w:r>
            <w:r w:rsidR="00655FAC">
              <w:rPr>
                <w:rFonts w:ascii="Arial" w:hAnsi="Arial" w:cs="Arial"/>
                <w:b/>
                <w:color w:val="FFFFFF" w:themeColor="background1"/>
                <w:sz w:val="20"/>
                <w:szCs w:val="20"/>
              </w:rPr>
              <w:t>$ million</w:t>
            </w:r>
          </w:p>
        </w:tc>
        <w:tc>
          <w:tcPr>
            <w:tcW w:w="2155" w:type="dxa"/>
            <w:shd w:val="clear" w:color="auto" w:fill="2F5496" w:themeFill="accent1" w:themeFillShade="BF"/>
            <w:vAlign w:val="center"/>
          </w:tcPr>
          <w:p w14:paraId="0DA10AF4" w14:textId="4EBF9CC2" w:rsidR="00F760B1" w:rsidRPr="00F760B1" w:rsidRDefault="001D0BD1" w:rsidP="00643C4B">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Scenario 3 </w:t>
            </w:r>
            <w:r w:rsidR="00643C4B">
              <w:rPr>
                <w:rFonts w:ascii="Arial" w:hAnsi="Arial" w:cs="Arial"/>
                <w:b/>
                <w:color w:val="FFFFFF" w:themeColor="background1"/>
                <w:sz w:val="20"/>
                <w:szCs w:val="20"/>
              </w:rPr>
              <w:br/>
            </w:r>
            <w:r>
              <w:rPr>
                <w:rFonts w:ascii="Arial" w:hAnsi="Arial" w:cs="Arial"/>
                <w:b/>
                <w:color w:val="FFFFFF" w:themeColor="background1"/>
                <w:sz w:val="20"/>
                <w:szCs w:val="20"/>
              </w:rPr>
              <w:t>(</w:t>
            </w:r>
            <w:r w:rsidR="00F760B1">
              <w:rPr>
                <w:rFonts w:ascii="Arial" w:hAnsi="Arial" w:cs="Arial"/>
                <w:b/>
                <w:color w:val="FFFFFF" w:themeColor="background1"/>
                <w:sz w:val="20"/>
                <w:szCs w:val="20"/>
              </w:rPr>
              <w:t>Low</w:t>
            </w:r>
            <w:r>
              <w:rPr>
                <w:rFonts w:ascii="Arial" w:hAnsi="Arial" w:cs="Arial"/>
                <w:b/>
                <w:color w:val="FFFFFF" w:themeColor="background1"/>
                <w:sz w:val="20"/>
                <w:szCs w:val="20"/>
              </w:rPr>
              <w:t xml:space="preserve">) </w:t>
            </w:r>
            <w:r w:rsidR="00643C4B">
              <w:rPr>
                <w:rFonts w:ascii="Arial" w:hAnsi="Arial" w:cs="Arial"/>
                <w:b/>
                <w:color w:val="FFFFFF" w:themeColor="background1"/>
                <w:sz w:val="20"/>
                <w:szCs w:val="20"/>
              </w:rPr>
              <w:br/>
            </w:r>
            <w:r>
              <w:rPr>
                <w:rFonts w:ascii="Arial" w:hAnsi="Arial" w:cs="Arial"/>
                <w:b/>
                <w:color w:val="FFFFFF" w:themeColor="background1"/>
                <w:sz w:val="20"/>
                <w:szCs w:val="20"/>
              </w:rPr>
              <w:t>$ million</w:t>
            </w:r>
          </w:p>
        </w:tc>
      </w:tr>
      <w:tr w:rsidR="00C569A8" w14:paraId="27FB6FBF" w14:textId="77777777" w:rsidTr="00030761">
        <w:tc>
          <w:tcPr>
            <w:tcW w:w="2552" w:type="dxa"/>
            <w:shd w:val="clear" w:color="auto" w:fill="F2F2F2" w:themeFill="background1" w:themeFillShade="F2"/>
          </w:tcPr>
          <w:p w14:paraId="3297718D" w14:textId="3C74B87A" w:rsidR="00C569A8" w:rsidRDefault="00C569A8" w:rsidP="002E1582">
            <w:pPr>
              <w:pStyle w:val="BodyText"/>
              <w:rPr>
                <w:rFonts w:ascii="Arial" w:hAnsi="Arial" w:cs="Arial"/>
                <w:sz w:val="20"/>
                <w:szCs w:val="20"/>
              </w:rPr>
            </w:pPr>
            <w:r>
              <w:rPr>
                <w:rFonts w:ascii="Arial" w:hAnsi="Arial" w:cs="Arial"/>
                <w:sz w:val="20"/>
                <w:szCs w:val="20"/>
              </w:rPr>
              <w:t>Total direct cost to the economy of the incident</w:t>
            </w:r>
          </w:p>
        </w:tc>
        <w:tc>
          <w:tcPr>
            <w:tcW w:w="2154" w:type="dxa"/>
            <w:vAlign w:val="center"/>
          </w:tcPr>
          <w:p w14:paraId="76EBF4E1" w14:textId="706B9ABD" w:rsidR="00C569A8" w:rsidRDefault="001A5D00" w:rsidP="00643C4B">
            <w:pPr>
              <w:pStyle w:val="BodyText"/>
              <w:jc w:val="center"/>
              <w:rPr>
                <w:rFonts w:ascii="Arial" w:hAnsi="Arial" w:cs="Arial"/>
                <w:sz w:val="20"/>
                <w:szCs w:val="20"/>
              </w:rPr>
            </w:pPr>
            <w:r>
              <w:rPr>
                <w:rFonts w:ascii="Arial" w:hAnsi="Arial" w:cs="Arial"/>
                <w:sz w:val="20"/>
                <w:szCs w:val="20"/>
              </w:rPr>
              <w:t>$2</w:t>
            </w:r>
            <w:r w:rsidR="00A93096">
              <w:rPr>
                <w:rFonts w:ascii="Arial" w:hAnsi="Arial" w:cs="Arial"/>
                <w:sz w:val="20"/>
                <w:szCs w:val="20"/>
              </w:rPr>
              <w:t>8</w:t>
            </w:r>
            <w:r>
              <w:rPr>
                <w:rFonts w:ascii="Arial" w:hAnsi="Arial" w:cs="Arial"/>
                <w:sz w:val="20"/>
                <w:szCs w:val="20"/>
              </w:rPr>
              <w:t>0</w:t>
            </w:r>
          </w:p>
        </w:tc>
        <w:tc>
          <w:tcPr>
            <w:tcW w:w="2155" w:type="dxa"/>
            <w:vAlign w:val="center"/>
          </w:tcPr>
          <w:p w14:paraId="551E4097" w14:textId="5ECBE6A5" w:rsidR="00C569A8" w:rsidRPr="00902C18" w:rsidRDefault="00C569A8" w:rsidP="00643C4B">
            <w:pPr>
              <w:pStyle w:val="BodyText"/>
              <w:jc w:val="center"/>
              <w:rPr>
                <w:rFonts w:ascii="Arial" w:hAnsi="Arial" w:cs="Arial"/>
                <w:sz w:val="20"/>
                <w:szCs w:val="20"/>
              </w:rPr>
            </w:pPr>
            <w:r>
              <w:rPr>
                <w:rFonts w:ascii="Arial" w:hAnsi="Arial" w:cs="Arial"/>
                <w:sz w:val="20"/>
                <w:szCs w:val="20"/>
              </w:rPr>
              <w:t>$140</w:t>
            </w:r>
          </w:p>
        </w:tc>
        <w:tc>
          <w:tcPr>
            <w:tcW w:w="2155" w:type="dxa"/>
            <w:vAlign w:val="center"/>
          </w:tcPr>
          <w:p w14:paraId="04A0CD95" w14:textId="7F112E34" w:rsidR="00C569A8" w:rsidRPr="00902C18" w:rsidRDefault="001A5D00" w:rsidP="001425F2">
            <w:pPr>
              <w:pStyle w:val="BodyText"/>
              <w:jc w:val="center"/>
              <w:rPr>
                <w:rFonts w:ascii="Arial" w:hAnsi="Arial" w:cs="Arial"/>
                <w:sz w:val="20"/>
                <w:szCs w:val="20"/>
              </w:rPr>
            </w:pPr>
            <w:r>
              <w:rPr>
                <w:rFonts w:ascii="Arial" w:hAnsi="Arial" w:cs="Arial"/>
                <w:sz w:val="20"/>
                <w:szCs w:val="20"/>
              </w:rPr>
              <w:t>$70</w:t>
            </w:r>
          </w:p>
        </w:tc>
      </w:tr>
      <w:tr w:rsidR="00D8324A" w14:paraId="24F392B9" w14:textId="77777777">
        <w:tc>
          <w:tcPr>
            <w:tcW w:w="2552" w:type="dxa"/>
            <w:shd w:val="clear" w:color="auto" w:fill="F2F2F2" w:themeFill="background1" w:themeFillShade="F2"/>
          </w:tcPr>
          <w:p w14:paraId="5310BD93" w14:textId="2EDDFC37" w:rsidR="00D8324A" w:rsidRDefault="00D8324A" w:rsidP="002E1582">
            <w:pPr>
              <w:pStyle w:val="BodyText"/>
              <w:rPr>
                <w:rFonts w:ascii="Arial" w:hAnsi="Arial" w:cs="Arial"/>
                <w:sz w:val="20"/>
                <w:szCs w:val="20"/>
              </w:rPr>
            </w:pPr>
            <w:r>
              <w:rPr>
                <w:rFonts w:ascii="Arial" w:hAnsi="Arial" w:cs="Arial"/>
                <w:sz w:val="20"/>
                <w:szCs w:val="20"/>
              </w:rPr>
              <w:t>Total in-direct costs to the economy of the incident</w:t>
            </w:r>
          </w:p>
        </w:tc>
        <w:tc>
          <w:tcPr>
            <w:tcW w:w="6464" w:type="dxa"/>
            <w:gridSpan w:val="3"/>
            <w:vAlign w:val="center"/>
          </w:tcPr>
          <w:p w14:paraId="6829C190" w14:textId="4C45DE09" w:rsidR="00D8324A" w:rsidRDefault="008F02F9" w:rsidP="001425F2">
            <w:pPr>
              <w:pStyle w:val="BodyText"/>
              <w:jc w:val="center"/>
              <w:rPr>
                <w:rFonts w:ascii="Arial" w:hAnsi="Arial" w:cs="Arial"/>
                <w:sz w:val="20"/>
                <w:szCs w:val="20"/>
              </w:rPr>
            </w:pPr>
            <w:r>
              <w:rPr>
                <w:rFonts w:ascii="Arial" w:hAnsi="Arial" w:cs="Arial"/>
                <w:sz w:val="20"/>
                <w:szCs w:val="20"/>
              </w:rPr>
              <w:t>5</w:t>
            </w:r>
            <w:r w:rsidR="00D8324A">
              <w:rPr>
                <w:rFonts w:ascii="Arial" w:hAnsi="Arial" w:cs="Arial"/>
                <w:sz w:val="20"/>
                <w:szCs w:val="20"/>
              </w:rPr>
              <w:t>0-</w:t>
            </w:r>
            <w:r>
              <w:rPr>
                <w:rFonts w:ascii="Arial" w:hAnsi="Arial" w:cs="Arial"/>
                <w:sz w:val="20"/>
                <w:szCs w:val="20"/>
              </w:rPr>
              <w:t>75</w:t>
            </w:r>
            <w:r w:rsidR="00D8324A">
              <w:rPr>
                <w:rFonts w:ascii="Arial" w:hAnsi="Arial" w:cs="Arial"/>
                <w:sz w:val="20"/>
                <w:szCs w:val="20"/>
              </w:rPr>
              <w:t>% of the direct cost.</w:t>
            </w:r>
          </w:p>
        </w:tc>
      </w:tr>
    </w:tbl>
    <w:p w14:paraId="255ACBF3" w14:textId="766CC1E3" w:rsidR="00B649EF" w:rsidRPr="0079597C" w:rsidRDefault="00B649EF" w:rsidP="5E142495">
      <w:pPr>
        <w:pStyle w:val="BodyText"/>
        <w:rPr>
          <w:rFonts w:ascii="Arial" w:hAnsi="Arial" w:cs="Arial"/>
          <w:sz w:val="20"/>
          <w:szCs w:val="20"/>
        </w:rPr>
      </w:pPr>
      <w:r w:rsidRPr="5E142495">
        <w:rPr>
          <w:rFonts w:ascii="Arial" w:hAnsi="Arial" w:cs="Arial"/>
          <w:sz w:val="20"/>
          <w:szCs w:val="20"/>
        </w:rPr>
        <w:t>In the broader context of a potential future disruption, in addition to the above estimate of benefits would be the avoided costs of recovery (repair costs, costs of resulting mitigations, productivity loss due to attending to legal ramifications, intangible costs on the environment, health and wellbeing, loss of reputation etc.)</w:t>
      </w:r>
      <w:r w:rsidR="001A273F">
        <w:rPr>
          <w:rFonts w:ascii="Arial" w:hAnsi="Arial" w:cs="Arial"/>
          <w:sz w:val="20"/>
          <w:szCs w:val="20"/>
        </w:rPr>
        <w:t>.</w:t>
      </w:r>
      <w:r w:rsidR="00F17846" w:rsidRPr="5E142495">
        <w:rPr>
          <w:rFonts w:ascii="Arial" w:hAnsi="Arial" w:cs="Arial"/>
          <w:sz w:val="20"/>
          <w:szCs w:val="20"/>
        </w:rPr>
        <w:t xml:space="preserve">It is </w:t>
      </w:r>
      <w:r w:rsidR="0076277C" w:rsidRPr="5E142495">
        <w:rPr>
          <w:rFonts w:ascii="Arial" w:hAnsi="Arial" w:cs="Arial"/>
          <w:sz w:val="20"/>
          <w:szCs w:val="20"/>
        </w:rPr>
        <w:t xml:space="preserve">estimated </w:t>
      </w:r>
      <w:r w:rsidR="00F17846" w:rsidRPr="5E142495">
        <w:rPr>
          <w:rFonts w:ascii="Arial" w:hAnsi="Arial" w:cs="Arial"/>
          <w:sz w:val="20"/>
          <w:szCs w:val="20"/>
        </w:rPr>
        <w:t xml:space="preserve">that </w:t>
      </w:r>
      <w:r w:rsidR="009C1075" w:rsidRPr="5E142495">
        <w:rPr>
          <w:rFonts w:ascii="Arial" w:hAnsi="Arial" w:cs="Arial"/>
          <w:sz w:val="20"/>
          <w:szCs w:val="20"/>
        </w:rPr>
        <w:t xml:space="preserve">there would be </w:t>
      </w:r>
      <w:r w:rsidR="00F17846" w:rsidRPr="5E142495">
        <w:rPr>
          <w:rFonts w:ascii="Arial" w:hAnsi="Arial" w:cs="Arial"/>
          <w:sz w:val="20"/>
          <w:szCs w:val="20"/>
        </w:rPr>
        <w:t xml:space="preserve">additional indirect costs of an incident </w:t>
      </w:r>
      <w:r w:rsidR="00404499" w:rsidRPr="5E142495">
        <w:rPr>
          <w:rFonts w:ascii="Arial" w:hAnsi="Arial" w:cs="Arial"/>
          <w:sz w:val="20"/>
          <w:szCs w:val="20"/>
        </w:rPr>
        <w:t xml:space="preserve">due to both the </w:t>
      </w:r>
      <w:r w:rsidR="0076277C" w:rsidRPr="5E142495">
        <w:rPr>
          <w:rFonts w:ascii="Arial" w:hAnsi="Arial" w:cs="Arial"/>
          <w:sz w:val="20"/>
          <w:szCs w:val="20"/>
        </w:rPr>
        <w:t xml:space="preserve">upstream and downstream </w:t>
      </w:r>
      <w:r w:rsidR="001A1BBF" w:rsidRPr="5E142495">
        <w:rPr>
          <w:rFonts w:ascii="Arial" w:hAnsi="Arial" w:cs="Arial"/>
          <w:sz w:val="20"/>
          <w:szCs w:val="20"/>
        </w:rPr>
        <w:t xml:space="preserve">of the supply chain </w:t>
      </w:r>
      <w:r w:rsidR="00404499" w:rsidRPr="5E142495">
        <w:rPr>
          <w:rFonts w:ascii="Arial" w:hAnsi="Arial" w:cs="Arial"/>
          <w:sz w:val="20"/>
          <w:szCs w:val="20"/>
        </w:rPr>
        <w:t>impacts</w:t>
      </w:r>
      <w:r w:rsidR="00A1795D">
        <w:rPr>
          <w:rFonts w:ascii="Arial" w:hAnsi="Arial" w:cs="Arial"/>
          <w:sz w:val="20"/>
          <w:szCs w:val="20"/>
        </w:rPr>
        <w:t xml:space="preserve">. Based on the economic modelling undertaken for other classes of critical infrastructure assets </w:t>
      </w:r>
      <w:r w:rsidR="001355CB">
        <w:rPr>
          <w:rFonts w:ascii="Arial" w:hAnsi="Arial" w:cs="Arial"/>
          <w:sz w:val="20"/>
          <w:szCs w:val="20"/>
        </w:rPr>
        <w:t xml:space="preserve">in the 2022 RIS, the </w:t>
      </w:r>
      <w:r w:rsidR="00D33650">
        <w:rPr>
          <w:rFonts w:ascii="Arial" w:hAnsi="Arial" w:cs="Arial"/>
          <w:sz w:val="20"/>
          <w:szCs w:val="20"/>
        </w:rPr>
        <w:t>additional indirect costs</w:t>
      </w:r>
      <w:r w:rsidR="00404499" w:rsidRPr="5E142495">
        <w:rPr>
          <w:rFonts w:ascii="Arial" w:hAnsi="Arial" w:cs="Arial"/>
          <w:sz w:val="20"/>
          <w:szCs w:val="20"/>
        </w:rPr>
        <w:t xml:space="preserve"> could </w:t>
      </w:r>
      <w:r w:rsidR="00F17846" w:rsidRPr="5E142495">
        <w:rPr>
          <w:rFonts w:ascii="Arial" w:hAnsi="Arial" w:cs="Arial"/>
          <w:sz w:val="20"/>
          <w:szCs w:val="20"/>
        </w:rPr>
        <w:t xml:space="preserve">range </w:t>
      </w:r>
      <w:r w:rsidR="00136A5F" w:rsidRPr="5E142495">
        <w:rPr>
          <w:rFonts w:ascii="Arial" w:hAnsi="Arial" w:cs="Arial"/>
          <w:sz w:val="20"/>
          <w:szCs w:val="20"/>
        </w:rPr>
        <w:t xml:space="preserve">from </w:t>
      </w:r>
      <w:r w:rsidR="008F02F9" w:rsidRPr="5E142495">
        <w:rPr>
          <w:rFonts w:ascii="Arial" w:hAnsi="Arial" w:cs="Arial"/>
          <w:sz w:val="20"/>
          <w:szCs w:val="20"/>
        </w:rPr>
        <w:t>5</w:t>
      </w:r>
      <w:r w:rsidR="00D8324A" w:rsidRPr="5E142495">
        <w:rPr>
          <w:rFonts w:ascii="Arial" w:hAnsi="Arial" w:cs="Arial"/>
          <w:sz w:val="20"/>
          <w:szCs w:val="20"/>
        </w:rPr>
        <w:t>0-</w:t>
      </w:r>
      <w:r w:rsidR="008F02F9" w:rsidRPr="5E142495">
        <w:rPr>
          <w:rFonts w:ascii="Arial" w:hAnsi="Arial" w:cs="Arial"/>
          <w:sz w:val="20"/>
          <w:szCs w:val="20"/>
        </w:rPr>
        <w:t>7</w:t>
      </w:r>
      <w:r w:rsidR="00D8324A" w:rsidRPr="5E142495">
        <w:rPr>
          <w:rFonts w:ascii="Arial" w:hAnsi="Arial" w:cs="Arial"/>
          <w:sz w:val="20"/>
          <w:szCs w:val="20"/>
        </w:rPr>
        <w:t>5</w:t>
      </w:r>
      <w:r w:rsidR="00F17846" w:rsidRPr="5E142495">
        <w:rPr>
          <w:rFonts w:ascii="Arial" w:hAnsi="Arial" w:cs="Arial"/>
          <w:sz w:val="20"/>
          <w:szCs w:val="20"/>
        </w:rPr>
        <w:t xml:space="preserve">% </w:t>
      </w:r>
      <w:r w:rsidR="00136A5F" w:rsidRPr="5E142495">
        <w:rPr>
          <w:rFonts w:ascii="Arial" w:hAnsi="Arial" w:cs="Arial"/>
          <w:sz w:val="20"/>
          <w:szCs w:val="20"/>
        </w:rPr>
        <w:t xml:space="preserve">of the </w:t>
      </w:r>
      <w:r w:rsidR="001A1BBF" w:rsidRPr="5E142495">
        <w:rPr>
          <w:rFonts w:ascii="Arial" w:hAnsi="Arial" w:cs="Arial"/>
          <w:sz w:val="20"/>
          <w:szCs w:val="20"/>
        </w:rPr>
        <w:t xml:space="preserve">total </w:t>
      </w:r>
      <w:r w:rsidR="00136A5F" w:rsidRPr="5E142495">
        <w:rPr>
          <w:rFonts w:ascii="Arial" w:hAnsi="Arial" w:cs="Arial"/>
          <w:sz w:val="20"/>
          <w:szCs w:val="20"/>
        </w:rPr>
        <w:t>direct costs</w:t>
      </w:r>
      <w:r w:rsidR="00CA431C">
        <w:rPr>
          <w:rFonts w:ascii="Arial" w:hAnsi="Arial" w:cs="Arial"/>
          <w:sz w:val="20"/>
          <w:szCs w:val="20"/>
        </w:rPr>
        <w:t xml:space="preserve"> of an incident</w:t>
      </w:r>
      <w:r w:rsidR="004A1728" w:rsidRPr="5E142495">
        <w:rPr>
          <w:rFonts w:ascii="Arial" w:hAnsi="Arial" w:cs="Arial"/>
          <w:sz w:val="20"/>
          <w:szCs w:val="20"/>
        </w:rPr>
        <w:t>.</w:t>
      </w:r>
    </w:p>
    <w:p w14:paraId="274EE586" w14:textId="77777777" w:rsidR="00B649EF" w:rsidRPr="00AF56F0" w:rsidRDefault="00B649EF" w:rsidP="5E142495">
      <w:pPr>
        <w:pStyle w:val="BodyText"/>
        <w:rPr>
          <w:rFonts w:ascii="Arial" w:hAnsi="Arial" w:cs="Arial"/>
          <w:sz w:val="20"/>
          <w:szCs w:val="20"/>
        </w:rPr>
      </w:pPr>
      <w:r w:rsidRPr="5E142495">
        <w:rPr>
          <w:rFonts w:ascii="Arial" w:hAnsi="Arial" w:cs="Arial"/>
          <w:sz w:val="20"/>
          <w:szCs w:val="20"/>
        </w:rPr>
        <w:t>Further, the increasing frequency of incidents makes the proposed risk management program framework more certain over time to exceed the anticipated costs. The examples referred to above demonstrate the increasing need for adequate protections against the security and resilience of critical telecommunications assets, and the increased likelihood that the benefits of the draft risk management program framework will exceed the costs outlined in this section.</w:t>
      </w:r>
    </w:p>
    <w:p w14:paraId="6A8E44B9" w14:textId="53255151" w:rsidR="00C36554" w:rsidRPr="000B323A" w:rsidRDefault="00C36554" w:rsidP="5E142495">
      <w:pPr>
        <w:pStyle w:val="BodyText"/>
        <w:rPr>
          <w:rFonts w:ascii="Arial" w:hAnsi="Arial" w:cs="Arial"/>
          <w:b/>
          <w:bCs/>
        </w:rPr>
      </w:pPr>
      <w:r w:rsidRPr="5E142495">
        <w:rPr>
          <w:rFonts w:ascii="Arial" w:hAnsi="Arial" w:cs="Arial"/>
          <w:b/>
          <w:bCs/>
        </w:rPr>
        <w:t xml:space="preserve">Assessment of likely net benefit </w:t>
      </w:r>
    </w:p>
    <w:p w14:paraId="3E1C3B3D" w14:textId="2BF19F85" w:rsidR="00137332" w:rsidRDefault="00BA642D" w:rsidP="00030761">
      <w:pPr>
        <w:rPr>
          <w:rFonts w:ascii="Arial" w:hAnsi="Arial" w:cs="Arial"/>
          <w:sz w:val="20"/>
          <w:szCs w:val="20"/>
        </w:rPr>
      </w:pPr>
      <w:r w:rsidRPr="5E142495">
        <w:rPr>
          <w:rFonts w:ascii="Arial" w:hAnsi="Arial" w:cs="Arial"/>
          <w:sz w:val="20"/>
          <w:szCs w:val="20"/>
        </w:rPr>
        <w:t xml:space="preserve">The likely benefits of option 2 will be at least (and are expected to be more than) the costs of the regulation. This is primarily because, the frequency and severity of all hazard risks for </w:t>
      </w:r>
      <w:r w:rsidR="007E03DA" w:rsidRPr="5E142495">
        <w:rPr>
          <w:rFonts w:ascii="Arial" w:hAnsi="Arial" w:cs="Arial"/>
          <w:sz w:val="20"/>
          <w:szCs w:val="20"/>
        </w:rPr>
        <w:t>telecommunication</w:t>
      </w:r>
      <w:r w:rsidRPr="5E142495">
        <w:rPr>
          <w:rFonts w:ascii="Arial" w:hAnsi="Arial" w:cs="Arial"/>
          <w:sz w:val="20"/>
          <w:szCs w:val="20"/>
        </w:rPr>
        <w:t xml:space="preserve"> assets are growing. While some events of the magnitude described in this </w:t>
      </w:r>
      <w:r w:rsidR="00C852A2">
        <w:rPr>
          <w:rFonts w:ascii="Arial" w:hAnsi="Arial" w:cs="Arial"/>
          <w:sz w:val="20"/>
          <w:szCs w:val="20"/>
        </w:rPr>
        <w:t>Supplementary Analysis</w:t>
      </w:r>
      <w:r w:rsidR="00C852A2" w:rsidRPr="5E142495">
        <w:rPr>
          <w:rFonts w:ascii="Arial" w:hAnsi="Arial" w:cs="Arial"/>
          <w:sz w:val="20"/>
          <w:szCs w:val="20"/>
        </w:rPr>
        <w:t xml:space="preserve"> </w:t>
      </w:r>
      <w:r w:rsidRPr="5E142495">
        <w:rPr>
          <w:rFonts w:ascii="Arial" w:hAnsi="Arial" w:cs="Arial"/>
          <w:sz w:val="20"/>
          <w:szCs w:val="20"/>
        </w:rPr>
        <w:t xml:space="preserve">have previously been considered to represent the worst-case disruption scenarios in Australia, the increasing severity and frequency of similar incidents, particularly in the context of growing cybersecurity incidents, represents a risk to the whole economy. </w:t>
      </w:r>
    </w:p>
    <w:p w14:paraId="5CF85CFC" w14:textId="04E4F616" w:rsidR="00BA642D" w:rsidRPr="001861BD" w:rsidRDefault="00A90EBB" w:rsidP="00030761">
      <w:pPr>
        <w:rPr>
          <w:rFonts w:ascii="Arial" w:hAnsi="Arial" w:cs="Arial"/>
          <w:sz w:val="20"/>
          <w:szCs w:val="20"/>
        </w:rPr>
      </w:pPr>
      <w:r w:rsidRPr="16AFC5D1">
        <w:rPr>
          <w:rFonts w:ascii="Arial" w:hAnsi="Arial" w:cs="Arial"/>
          <w:sz w:val="20"/>
          <w:szCs w:val="20"/>
        </w:rPr>
        <w:t xml:space="preserve">The cost for critical telecommunications assets is likely to be less than for </w:t>
      </w:r>
      <w:r w:rsidR="00F45256">
        <w:rPr>
          <w:rFonts w:ascii="Arial" w:hAnsi="Arial" w:cs="Arial"/>
          <w:sz w:val="20"/>
          <w:szCs w:val="20"/>
        </w:rPr>
        <w:t xml:space="preserve">the </w:t>
      </w:r>
      <w:r w:rsidR="005F7BAF">
        <w:rPr>
          <w:rFonts w:ascii="Arial" w:hAnsi="Arial" w:cs="Arial"/>
          <w:sz w:val="20"/>
          <w:szCs w:val="20"/>
        </w:rPr>
        <w:t>other</w:t>
      </w:r>
      <w:r w:rsidRPr="16AFC5D1">
        <w:rPr>
          <w:rFonts w:ascii="Arial" w:hAnsi="Arial" w:cs="Arial"/>
          <w:sz w:val="20"/>
          <w:szCs w:val="20"/>
        </w:rPr>
        <w:t xml:space="preserve"> classes</w:t>
      </w:r>
      <w:r w:rsidR="005F7BAF">
        <w:rPr>
          <w:rFonts w:ascii="Arial" w:hAnsi="Arial" w:cs="Arial"/>
          <w:sz w:val="20"/>
          <w:szCs w:val="20"/>
        </w:rPr>
        <w:t xml:space="preserve"> of critical infrastructure asset examined in the 2022 SOCI RIS</w:t>
      </w:r>
      <w:r w:rsidRPr="16AFC5D1">
        <w:rPr>
          <w:rFonts w:ascii="Arial" w:hAnsi="Arial" w:cs="Arial"/>
          <w:sz w:val="20"/>
          <w:szCs w:val="20"/>
        </w:rPr>
        <w:t xml:space="preserve"> because the Tel Act already requires some of the </w:t>
      </w:r>
      <w:r w:rsidR="00083BA1">
        <w:rPr>
          <w:rFonts w:ascii="Arial" w:hAnsi="Arial" w:cs="Arial"/>
          <w:sz w:val="20"/>
          <w:szCs w:val="20"/>
        </w:rPr>
        <w:t xml:space="preserve">processes, </w:t>
      </w:r>
      <w:r w:rsidR="000B16E2">
        <w:rPr>
          <w:rFonts w:ascii="Arial" w:hAnsi="Arial" w:cs="Arial"/>
          <w:sz w:val="20"/>
          <w:szCs w:val="20"/>
        </w:rPr>
        <w:t>capabilities, governance and systems which will be</w:t>
      </w:r>
      <w:r w:rsidRPr="16AFC5D1">
        <w:rPr>
          <w:rFonts w:ascii="Arial" w:hAnsi="Arial" w:cs="Arial"/>
          <w:sz w:val="20"/>
          <w:szCs w:val="20"/>
        </w:rPr>
        <w:t xml:space="preserve"> required by </w:t>
      </w:r>
      <w:r w:rsidR="000B16E2">
        <w:rPr>
          <w:rFonts w:ascii="Arial" w:hAnsi="Arial" w:cs="Arial"/>
          <w:sz w:val="20"/>
          <w:szCs w:val="20"/>
        </w:rPr>
        <w:t xml:space="preserve">rules and obligations </w:t>
      </w:r>
      <w:r w:rsidR="00096959">
        <w:rPr>
          <w:rFonts w:ascii="Arial" w:hAnsi="Arial" w:cs="Arial"/>
          <w:sz w:val="20"/>
          <w:szCs w:val="20"/>
        </w:rPr>
        <w:t xml:space="preserve">established by </w:t>
      </w:r>
      <w:r w:rsidRPr="16AFC5D1">
        <w:rPr>
          <w:rFonts w:ascii="Arial" w:hAnsi="Arial" w:cs="Arial"/>
          <w:sz w:val="20"/>
          <w:szCs w:val="20"/>
        </w:rPr>
        <w:t>the SOCI Act</w:t>
      </w:r>
      <w:r w:rsidR="00B91939" w:rsidRPr="16AFC5D1">
        <w:rPr>
          <w:rFonts w:ascii="Arial" w:hAnsi="Arial" w:cs="Arial"/>
          <w:sz w:val="20"/>
          <w:szCs w:val="20"/>
        </w:rPr>
        <w:t xml:space="preserve">. </w:t>
      </w:r>
      <w:r w:rsidRPr="16AFC5D1">
        <w:rPr>
          <w:rFonts w:ascii="Arial" w:hAnsi="Arial" w:cs="Arial"/>
          <w:sz w:val="20"/>
          <w:szCs w:val="20"/>
        </w:rPr>
        <w:t>This</w:t>
      </w:r>
      <w:r w:rsidR="00137332">
        <w:rPr>
          <w:rFonts w:ascii="Arial" w:hAnsi="Arial" w:cs="Arial"/>
          <w:sz w:val="20"/>
          <w:szCs w:val="20"/>
        </w:rPr>
        <w:t>,</w:t>
      </w:r>
      <w:r w:rsidRPr="16AFC5D1">
        <w:rPr>
          <w:rFonts w:ascii="Arial" w:hAnsi="Arial" w:cs="Arial"/>
          <w:sz w:val="20"/>
          <w:szCs w:val="20"/>
        </w:rPr>
        <w:t xml:space="preserve"> together with t</w:t>
      </w:r>
      <w:r w:rsidR="00BA642D" w:rsidRPr="16AFC5D1">
        <w:rPr>
          <w:rFonts w:ascii="Arial" w:hAnsi="Arial" w:cs="Arial"/>
          <w:sz w:val="20"/>
          <w:szCs w:val="20"/>
        </w:rPr>
        <w:t>he</w:t>
      </w:r>
      <w:r w:rsidR="00BA642D" w:rsidRPr="5E142495">
        <w:rPr>
          <w:rFonts w:ascii="Arial" w:hAnsi="Arial" w:cs="Arial"/>
          <w:sz w:val="20"/>
          <w:szCs w:val="20"/>
        </w:rPr>
        <w:t xml:space="preserve"> increasing frequency of incidents</w:t>
      </w:r>
      <w:r w:rsidR="00137332">
        <w:rPr>
          <w:rFonts w:ascii="Arial" w:hAnsi="Arial" w:cs="Arial"/>
          <w:sz w:val="20"/>
          <w:szCs w:val="20"/>
        </w:rPr>
        <w:t>,</w:t>
      </w:r>
      <w:r w:rsidR="00BA642D" w:rsidRPr="5E142495">
        <w:rPr>
          <w:rFonts w:ascii="Arial" w:hAnsi="Arial" w:cs="Arial"/>
          <w:sz w:val="20"/>
          <w:szCs w:val="20"/>
        </w:rPr>
        <w:t xml:space="preserve"> makes the proposed risk management program framework more likely to exceed the anticipated costs over time. </w:t>
      </w:r>
    </w:p>
    <w:p w14:paraId="3F1427E2" w14:textId="77777777" w:rsidR="00BA642D" w:rsidRPr="001861BD" w:rsidRDefault="00BA642D" w:rsidP="5E142495">
      <w:pPr>
        <w:pStyle w:val="BodyText"/>
        <w:rPr>
          <w:rFonts w:ascii="Arial" w:hAnsi="Arial" w:cs="Arial"/>
          <w:sz w:val="20"/>
          <w:szCs w:val="20"/>
        </w:rPr>
      </w:pPr>
      <w:r w:rsidRPr="5E142495">
        <w:rPr>
          <w:rFonts w:ascii="Arial" w:hAnsi="Arial" w:cs="Arial"/>
          <w:sz w:val="20"/>
          <w:szCs w:val="20"/>
        </w:rPr>
        <w:t>Further, through pursuit of option 2, the identification, mitigation and remediation of such hazards, should they occur, will be improved through:</w:t>
      </w:r>
    </w:p>
    <w:p w14:paraId="034AD801" w14:textId="3AC7F67D" w:rsidR="00BA642D" w:rsidRPr="001861BD" w:rsidRDefault="00670572" w:rsidP="5E142495">
      <w:pPr>
        <w:pStyle w:val="Bullet1stlevel"/>
        <w:rPr>
          <w:rFonts w:ascii="Arial" w:hAnsi="Arial" w:cs="Arial"/>
          <w:sz w:val="20"/>
          <w:szCs w:val="20"/>
        </w:rPr>
      </w:pPr>
      <w:r w:rsidRPr="5E142495">
        <w:rPr>
          <w:rFonts w:ascii="Arial" w:hAnsi="Arial" w:cs="Arial"/>
          <w:sz w:val="20"/>
          <w:szCs w:val="20"/>
        </w:rPr>
        <w:t>l</w:t>
      </w:r>
      <w:r w:rsidR="00BA642D" w:rsidRPr="5E142495">
        <w:rPr>
          <w:rFonts w:ascii="Arial" w:hAnsi="Arial" w:cs="Arial"/>
          <w:sz w:val="20"/>
          <w:szCs w:val="20"/>
        </w:rPr>
        <w:t xml:space="preserve">owering the material risk of hazards and subsequent impacts of those hazards, as they manifest for critical </w:t>
      </w:r>
      <w:r w:rsidR="00923887" w:rsidRPr="5E142495">
        <w:rPr>
          <w:rFonts w:ascii="Arial" w:hAnsi="Arial" w:cs="Arial"/>
          <w:sz w:val="20"/>
          <w:szCs w:val="20"/>
        </w:rPr>
        <w:t xml:space="preserve">telecommunication </w:t>
      </w:r>
      <w:r w:rsidR="00BA642D" w:rsidRPr="5E142495">
        <w:rPr>
          <w:rFonts w:ascii="Arial" w:hAnsi="Arial" w:cs="Arial"/>
          <w:sz w:val="20"/>
          <w:szCs w:val="20"/>
        </w:rPr>
        <w:t xml:space="preserve">assets; </w:t>
      </w:r>
      <w:r w:rsidRPr="5E142495">
        <w:rPr>
          <w:rFonts w:ascii="Arial" w:hAnsi="Arial" w:cs="Arial"/>
          <w:sz w:val="20"/>
          <w:szCs w:val="20"/>
        </w:rPr>
        <w:t>and</w:t>
      </w:r>
    </w:p>
    <w:p w14:paraId="694D5C1A" w14:textId="2447DECC" w:rsidR="00BA642D" w:rsidRPr="001861BD" w:rsidRDefault="00670572" w:rsidP="00BA642D">
      <w:pPr>
        <w:pStyle w:val="Bullet1stlevel"/>
        <w:rPr>
          <w:rFonts w:ascii="Arial" w:hAnsi="Arial" w:cs="Arial"/>
          <w:sz w:val="20"/>
          <w:szCs w:val="20"/>
        </w:rPr>
      </w:pPr>
      <w:r w:rsidRPr="1F2C2F0C">
        <w:rPr>
          <w:rFonts w:ascii="Arial" w:hAnsi="Arial" w:cs="Arial"/>
          <w:sz w:val="20"/>
          <w:szCs w:val="20"/>
        </w:rPr>
        <w:t>e</w:t>
      </w:r>
      <w:r w:rsidR="00BA642D" w:rsidRPr="1F2C2F0C">
        <w:rPr>
          <w:rFonts w:ascii="Arial" w:hAnsi="Arial" w:cs="Arial"/>
          <w:sz w:val="20"/>
          <w:szCs w:val="20"/>
        </w:rPr>
        <w:t xml:space="preserve">nsuring that adoption of the risk management program framework for </w:t>
      </w:r>
      <w:r w:rsidR="00676440" w:rsidRPr="1F2C2F0C">
        <w:rPr>
          <w:rFonts w:ascii="Arial" w:hAnsi="Arial" w:cs="Arial"/>
          <w:sz w:val="20"/>
          <w:szCs w:val="20"/>
        </w:rPr>
        <w:t>telecommunication</w:t>
      </w:r>
      <w:r w:rsidR="00BA642D" w:rsidRPr="1F2C2F0C">
        <w:rPr>
          <w:rFonts w:ascii="Arial" w:hAnsi="Arial" w:cs="Arial"/>
          <w:sz w:val="20"/>
          <w:szCs w:val="20"/>
        </w:rPr>
        <w:t xml:space="preserve"> assets is reasonable and proportionate to the purpose of the program; </w:t>
      </w:r>
    </w:p>
    <w:p w14:paraId="1C1E30E1" w14:textId="5F5E491B" w:rsidR="00BA642D" w:rsidRPr="001861BD" w:rsidRDefault="00BA642D" w:rsidP="00BA642D">
      <w:pPr>
        <w:pStyle w:val="BodyText"/>
        <w:rPr>
          <w:rFonts w:ascii="Arial" w:eastAsia="Times New Roman" w:hAnsi="Arial" w:cs="Arial"/>
          <w:sz w:val="20"/>
          <w:szCs w:val="20"/>
        </w:rPr>
      </w:pPr>
      <w:r w:rsidRPr="001861BD">
        <w:rPr>
          <w:rFonts w:ascii="Arial" w:hAnsi="Arial" w:cs="Arial"/>
          <w:sz w:val="20"/>
          <w:szCs w:val="20"/>
        </w:rPr>
        <w:t xml:space="preserve">Overall, these factors and the specific costs and benefits described above mean the likely net benefit associated with option 2 is high. </w:t>
      </w:r>
    </w:p>
    <w:p w14:paraId="35946A6B" w14:textId="1C6E7AC5" w:rsidR="00C36554" w:rsidRPr="00C36554" w:rsidRDefault="00C36554" w:rsidP="00C36554"/>
    <w:sectPr w:rsidR="00C36554" w:rsidRPr="00C365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1AAD" w14:textId="77777777" w:rsidR="0098253E" w:rsidRDefault="0098253E" w:rsidP="00B57689">
      <w:pPr>
        <w:spacing w:after="0" w:line="240" w:lineRule="auto"/>
      </w:pPr>
      <w:r>
        <w:separator/>
      </w:r>
    </w:p>
    <w:p w14:paraId="48344C65" w14:textId="77777777" w:rsidR="0098253E" w:rsidRDefault="0098253E"/>
  </w:endnote>
  <w:endnote w:type="continuationSeparator" w:id="0">
    <w:p w14:paraId="1A5B880D" w14:textId="77777777" w:rsidR="0098253E" w:rsidRDefault="0098253E" w:rsidP="00B57689">
      <w:pPr>
        <w:spacing w:after="0" w:line="240" w:lineRule="auto"/>
      </w:pPr>
      <w:r>
        <w:continuationSeparator/>
      </w:r>
    </w:p>
    <w:p w14:paraId="447F1026" w14:textId="77777777" w:rsidR="0098253E" w:rsidRDefault="0098253E"/>
  </w:endnote>
  <w:endnote w:type="continuationNotice" w:id="1">
    <w:p w14:paraId="35461B13" w14:textId="77777777" w:rsidR="0098253E" w:rsidRDefault="0098253E">
      <w:pPr>
        <w:spacing w:after="0" w:line="240" w:lineRule="auto"/>
      </w:pPr>
    </w:p>
    <w:p w14:paraId="5D897FDE" w14:textId="77777777" w:rsidR="0098253E" w:rsidRDefault="0098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92BD" w14:textId="495654FA" w:rsidR="007845C8" w:rsidRDefault="007845C8">
    <w:pPr>
      <w:pStyle w:val="Footer"/>
    </w:pPr>
    <w:r>
      <w:rPr>
        <w:noProof/>
        <w:lang w:eastAsia="en-AU"/>
      </w:rPr>
      <mc:AlternateContent>
        <mc:Choice Requires="wps">
          <w:drawing>
            <wp:anchor distT="0" distB="0" distL="0" distR="0" simplePos="0" relativeHeight="251658244" behindDoc="0" locked="0" layoutInCell="1" allowOverlap="1" wp14:anchorId="1006CE4B" wp14:editId="7024D40E">
              <wp:simplePos x="635" y="635"/>
              <wp:positionH relativeFrom="page">
                <wp:align>center</wp:align>
              </wp:positionH>
              <wp:positionV relativeFrom="page">
                <wp:align>bottom</wp:align>
              </wp:positionV>
              <wp:extent cx="552450" cy="390525"/>
              <wp:effectExtent l="0" t="0" r="0" b="0"/>
              <wp:wrapNone/>
              <wp:docPr id="5"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767C9AB" w14:textId="03B0694F"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06CE4B" id="_x0000_t202" coordsize="21600,21600" o:spt="202" path="m,l,21600r21600,l21600,xe">
              <v:stroke joinstyle="miter"/>
              <v:path gradientshapeok="t" o:connecttype="rect"/>
            </v:shapetype>
            <v:shape id="Text Box 5" o:spid="_x0000_s1028" type="#_x0000_t202" alt="OFFICIAL" style="position:absolute;margin-left:0;margin-top:0;width:43.5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textbox style="mso-fit-shape-to-text:t" inset="0,0,0,15pt">
                <w:txbxContent>
                  <w:p w14:paraId="1767C9AB" w14:textId="03B0694F"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FAA5" w14:textId="11E330AE" w:rsidR="00B57689" w:rsidRPr="000B323A" w:rsidRDefault="00B57689">
    <w:pPr>
      <w:pStyle w:val="Footer"/>
      <w:jc w:val="right"/>
      <w:rPr>
        <w:rFonts w:ascii="Arial" w:hAnsi="Arial" w:cs="Arial"/>
        <w:sz w:val="18"/>
        <w:szCs w:val="18"/>
      </w:rPr>
    </w:pPr>
  </w:p>
  <w:p w14:paraId="180A96D0" w14:textId="037DF217" w:rsidR="00B57689" w:rsidRPr="000B323A" w:rsidRDefault="00B57689">
    <w:pPr>
      <w:pStyle w:val="Footer"/>
      <w:jc w:val="right"/>
      <w:rPr>
        <w:rFonts w:ascii="Arial" w:hAnsi="Arial" w:cs="Arial"/>
        <w:sz w:val="18"/>
        <w:szCs w:val="18"/>
      </w:rPr>
    </w:pPr>
    <w:r w:rsidRPr="000B323A">
      <w:rPr>
        <w:rFonts w:ascii="Arial" w:hAnsi="Arial" w:cs="Arial"/>
        <w:sz w:val="18"/>
        <w:szCs w:val="18"/>
      </w:rPr>
      <w:fldChar w:fldCharType="begin"/>
    </w:r>
    <w:r w:rsidRPr="000B323A">
      <w:rPr>
        <w:rFonts w:ascii="Arial" w:hAnsi="Arial" w:cs="Arial"/>
        <w:sz w:val="18"/>
        <w:szCs w:val="18"/>
      </w:rPr>
      <w:instrText xml:space="preserve"> PAGE   \* MERGEFORMAT </w:instrText>
    </w:r>
    <w:r w:rsidRPr="000B323A">
      <w:rPr>
        <w:rFonts w:ascii="Arial" w:hAnsi="Arial" w:cs="Arial"/>
        <w:sz w:val="18"/>
        <w:szCs w:val="18"/>
      </w:rPr>
      <w:fldChar w:fldCharType="separate"/>
    </w:r>
    <w:r w:rsidR="00D13089">
      <w:rPr>
        <w:rFonts w:ascii="Arial" w:hAnsi="Arial" w:cs="Arial"/>
        <w:noProof/>
        <w:sz w:val="18"/>
        <w:szCs w:val="18"/>
      </w:rPr>
      <w:t>1</w:t>
    </w:r>
    <w:r w:rsidRPr="000B323A">
      <w:rPr>
        <w:rFonts w:ascii="Arial" w:hAnsi="Arial" w:cs="Arial"/>
        <w:sz w:val="18"/>
        <w:szCs w:val="18"/>
      </w:rPr>
      <w:fldChar w:fldCharType="end"/>
    </w:r>
  </w:p>
  <w:p w14:paraId="40F20F95" w14:textId="12AECDD0" w:rsidR="00B57689" w:rsidRDefault="0071528B">
    <w:pPr>
      <w:pStyle w:val="Footer"/>
    </w:pPr>
    <w:r>
      <w:rPr>
        <w:noProof/>
        <w:lang w:eastAsia="en-AU"/>
      </w:rPr>
      <mc:AlternateContent>
        <mc:Choice Requires="wps">
          <w:drawing>
            <wp:anchor distT="0" distB="0" distL="0" distR="0" simplePos="0" relativeHeight="251658245" behindDoc="0" locked="0" layoutInCell="1" allowOverlap="1" wp14:anchorId="507CEE31" wp14:editId="0EFCFC56">
              <wp:simplePos x="0" y="0"/>
              <wp:positionH relativeFrom="margin">
                <wp:align>center</wp:align>
              </wp:positionH>
              <wp:positionV relativeFrom="page">
                <wp:posOffset>9899650</wp:posOffset>
              </wp:positionV>
              <wp:extent cx="552450" cy="390525"/>
              <wp:effectExtent l="0" t="0" r="18415" b="1270"/>
              <wp:wrapNone/>
              <wp:docPr id="8"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8DFDB34" w14:textId="5DC4E1C0" w:rsidR="0071528B" w:rsidRPr="0079597C" w:rsidRDefault="0071528B" w:rsidP="0071528B">
                          <w:pPr>
                            <w:spacing w:after="0"/>
                            <w:rPr>
                              <w:rFonts w:ascii="Arial" w:eastAsia="Calibri" w:hAnsi="Arial" w:cs="Arial"/>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7CEE31" id="_x0000_t202" coordsize="21600,21600" o:spt="202" path="m,l,21600r21600,l21600,xe">
              <v:stroke joinstyle="miter"/>
              <v:path gradientshapeok="t" o:connecttype="rect"/>
            </v:shapetype>
            <v:shape id="Text Box 8" o:spid="_x0000_s1028" type="#_x0000_t202" alt="OFFICIAL" style="position:absolute;margin-left:0;margin-top:779.5pt;width:43.5pt;height:30.75pt;z-index:251658245;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" filled="f" stroked="f">
              <v:textbox style="mso-fit-shape-to-text:t" inset="0,15pt,0,0">
                <w:txbxContent>
                  <w:p w14:paraId="18DFDB34" w14:textId="5DC4E1C0" w:rsidR="0071528B" w:rsidRPr="0079597C" w:rsidRDefault="0071528B" w:rsidP="0071528B">
                    <w:pPr>
                      <w:spacing w:after="0"/>
                      <w:rPr>
                        <w:rFonts w:ascii="Arial" w:eastAsia="Calibri" w:hAnsi="Arial" w:cs="Arial"/>
                        <w:color w:val="FF0000"/>
                        <w:sz w:val="24"/>
                        <w:szCs w:val="24"/>
                      </w:rPr>
                    </w:pPr>
                  </w:p>
                </w:txbxContent>
              </v:textbox>
              <w10:wrap anchorx="margin" anchory="page"/>
            </v:shape>
          </w:pict>
        </mc:Fallback>
      </mc:AlternateContent>
    </w:r>
  </w:p>
  <w:p w14:paraId="45AA5E6D" w14:textId="77777777" w:rsidR="00B57689" w:rsidRDefault="00B57689" w:rsidP="0079597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37FB" w14:textId="5869B912" w:rsidR="007845C8" w:rsidRDefault="007845C8">
    <w:pPr>
      <w:pStyle w:val="Footer"/>
    </w:pPr>
    <w:r>
      <w:rPr>
        <w:noProof/>
        <w:lang w:eastAsia="en-AU"/>
      </w:rPr>
      <mc:AlternateContent>
        <mc:Choice Requires="wps">
          <w:drawing>
            <wp:anchor distT="0" distB="0" distL="0" distR="0" simplePos="0" relativeHeight="251658243" behindDoc="0" locked="0" layoutInCell="1" allowOverlap="1" wp14:anchorId="6AEDCE1D" wp14:editId="400921ED">
              <wp:simplePos x="635" y="635"/>
              <wp:positionH relativeFrom="page">
                <wp:align>center</wp:align>
              </wp:positionH>
              <wp:positionV relativeFrom="page">
                <wp:align>bottom</wp:align>
              </wp:positionV>
              <wp:extent cx="552450" cy="390525"/>
              <wp:effectExtent l="0" t="0" r="0" b="0"/>
              <wp:wrapNone/>
              <wp:docPr id="4"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4B860CF7" w14:textId="70AC3A9E"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EDCE1D" id="_x0000_t202" coordsize="21600,21600" o:spt="202" path="m,l,21600r21600,l21600,xe">
              <v:stroke joinstyle="miter"/>
              <v:path gradientshapeok="t" o:connecttype="rect"/>
            </v:shapetype>
            <v:shape id="Text Box 4" o:spid="_x0000_s1031" type="#_x0000_t202" alt="OFFICIAL" style="position:absolute;margin-left:0;margin-top:0;width:43.5pt;height:30.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S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oaGbvfQXWioRCGfXsn1w2V3ggfHgXSgqlbEm14&#10;oEO30JUczhZnNeCvt/wxn3inKGcdCabklhTNWfvD0j6itkYDR2OXjClRklPcHswtkAyn9CKcTCZ5&#10;MbSjqRHMM8l5FQtRSFhJ5Uq+G83bMCiXnoNUq1VKIhk5ETZ262SEjnRFLp/6Z4HuTHigTd3DqCZR&#10;vOB9yI03vVsdArGflhKpHYg8M04STGs9P5eo8T//U9b1US9/Aw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D//EkgwCAAAcBAAA&#10;DgAAAAAAAAAAAAAAAAAuAgAAZHJzL2Uyb0RvYy54bWxQSwECLQAUAAYACAAAACEAtBVjHtoAAAAD&#10;AQAADwAAAAAAAAAAAAAAAABmBAAAZHJzL2Rvd25yZXYueG1sUEsFBgAAAAAEAAQA8wAAAG0FAAAA&#10;AA==&#10;" filled="f" stroked="f">
              <v:textbox style="mso-fit-shape-to-text:t" inset="0,0,0,15pt">
                <w:txbxContent>
                  <w:p w14:paraId="4B860CF7" w14:textId="70AC3A9E"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8372" w14:textId="77777777" w:rsidR="0098253E" w:rsidRDefault="0098253E" w:rsidP="00B57689">
      <w:pPr>
        <w:spacing w:after="0" w:line="240" w:lineRule="auto"/>
      </w:pPr>
      <w:r>
        <w:separator/>
      </w:r>
    </w:p>
    <w:p w14:paraId="70FB6E20" w14:textId="77777777" w:rsidR="0098253E" w:rsidRDefault="0098253E"/>
  </w:footnote>
  <w:footnote w:type="continuationSeparator" w:id="0">
    <w:p w14:paraId="785CC21D" w14:textId="77777777" w:rsidR="0098253E" w:rsidRDefault="0098253E" w:rsidP="00B57689">
      <w:pPr>
        <w:spacing w:after="0" w:line="240" w:lineRule="auto"/>
      </w:pPr>
      <w:r>
        <w:continuationSeparator/>
      </w:r>
    </w:p>
    <w:p w14:paraId="198FC1A8" w14:textId="77777777" w:rsidR="0098253E" w:rsidRDefault="0098253E"/>
  </w:footnote>
  <w:footnote w:type="continuationNotice" w:id="1">
    <w:p w14:paraId="4BA61D11" w14:textId="77777777" w:rsidR="0098253E" w:rsidRDefault="0098253E">
      <w:pPr>
        <w:spacing w:after="0" w:line="240" w:lineRule="auto"/>
      </w:pPr>
    </w:p>
    <w:p w14:paraId="3EB5FCF4" w14:textId="77777777" w:rsidR="0098253E" w:rsidRDefault="0098253E"/>
  </w:footnote>
  <w:footnote w:id="2">
    <w:p w14:paraId="4636D124" w14:textId="6B1C49BB" w:rsidR="00250411" w:rsidRDefault="00250411">
      <w:pPr>
        <w:pStyle w:val="FootnoteText"/>
      </w:pPr>
      <w:r w:rsidRPr="008F3D27">
        <w:rPr>
          <w:rStyle w:val="FootnoteReference"/>
          <w:rFonts w:ascii="Arial" w:hAnsi="Arial" w:cs="Arial"/>
          <w:sz w:val="18"/>
          <w:szCs w:val="18"/>
        </w:rPr>
        <w:footnoteRef/>
      </w:r>
      <w:r w:rsidRPr="008F3D27">
        <w:rPr>
          <w:rFonts w:ascii="Arial" w:hAnsi="Arial" w:cs="Arial"/>
          <w:sz w:val="18"/>
          <w:szCs w:val="18"/>
        </w:rPr>
        <w:t xml:space="preserve"> </w:t>
      </w:r>
      <w:r w:rsidR="001F6038" w:rsidRPr="008F3D27">
        <w:rPr>
          <w:rFonts w:ascii="Arial" w:hAnsi="Arial" w:cs="Arial"/>
          <w:sz w:val="18"/>
          <w:szCs w:val="18"/>
        </w:rPr>
        <w:t>Australian Infrastructure Audit 2019 - 8. Telecommunications.pdf</w:t>
      </w:r>
      <w:r w:rsidR="00891188">
        <w:rPr>
          <w:rFonts w:ascii="Arial" w:hAnsi="Arial" w:cs="Arial"/>
          <w:sz w:val="18"/>
          <w:szCs w:val="18"/>
        </w:rPr>
        <w:t>,</w:t>
      </w:r>
      <w:r w:rsidR="001F6038" w:rsidRPr="008F3D27">
        <w:rPr>
          <w:rFonts w:ascii="Arial" w:hAnsi="Arial" w:cs="Arial"/>
          <w:sz w:val="18"/>
          <w:szCs w:val="18"/>
        </w:rPr>
        <w:t xml:space="preserve"> pg556</w:t>
      </w:r>
      <w:r w:rsidR="00891188">
        <w:rPr>
          <w:rFonts w:ascii="Arial" w:hAnsi="Arial" w:cs="Arial"/>
          <w:sz w:val="18"/>
          <w:szCs w:val="18"/>
        </w:rPr>
        <w:t xml:space="preserve">, </w:t>
      </w:r>
      <w:hyperlink r:id="rId1" w:history="1">
        <w:r w:rsidR="00891188" w:rsidRPr="00891188">
          <w:rPr>
            <w:rStyle w:val="Hyperlink"/>
            <w:rFonts w:ascii="Arial" w:hAnsi="Arial" w:cs="Arial"/>
            <w:sz w:val="18"/>
            <w:szCs w:val="18"/>
          </w:rPr>
          <w:t>infrastructure.gov.au/Australia-infrastructure-audit</w:t>
        </w:r>
      </w:hyperlink>
      <w:r w:rsidR="001F6038" w:rsidRPr="008F3D27">
        <w:rPr>
          <w:rFonts w:ascii="Arial" w:hAnsi="Arial" w:cs="Arial"/>
          <w:sz w:val="18"/>
          <w:szCs w:val="18"/>
        </w:rPr>
        <w:t>.</w:t>
      </w:r>
    </w:p>
  </w:footnote>
  <w:footnote w:id="3">
    <w:p w14:paraId="0DC2064B" w14:textId="61D62879" w:rsidR="00C10F7D" w:rsidRDefault="00C10F7D">
      <w:pPr>
        <w:pStyle w:val="FootnoteText"/>
      </w:pPr>
      <w:r>
        <w:rPr>
          <w:rStyle w:val="FootnoteReference"/>
        </w:rPr>
        <w:footnoteRef/>
      </w:r>
      <w:r>
        <w:t xml:space="preserve"> Optus data breach</w:t>
      </w:r>
      <w:r w:rsidR="00977062">
        <w:t xml:space="preserve">, Queensland Government, 2022, </w:t>
      </w:r>
      <w:hyperlink r:id="rId2" w:anchor=":~:text=In%20September%202022%2C%20a%20cyber,phone%20numbers%2C%20and%20email%20addresses." w:history="1">
        <w:r w:rsidR="008B17F7" w:rsidRPr="008B17F7">
          <w:rPr>
            <w:rStyle w:val="Hyperlink"/>
          </w:rPr>
          <w:t>qld.gov.au/community/cyber-security</w:t>
        </w:r>
      </w:hyperlink>
    </w:p>
  </w:footnote>
  <w:footnote w:id="4">
    <w:p w14:paraId="14BBEEF1" w14:textId="7FA1AA5C" w:rsidR="00325327" w:rsidRDefault="00325327">
      <w:pPr>
        <w:pStyle w:val="FootnoteText"/>
      </w:pPr>
      <w:r>
        <w:rPr>
          <w:rStyle w:val="FootnoteReference"/>
        </w:rPr>
        <w:footnoteRef/>
      </w:r>
      <w:r>
        <w:t xml:space="preserve"> </w:t>
      </w:r>
      <w:r w:rsidR="005856AB" w:rsidRPr="00771A8F">
        <w:t>Optus Half Year results</w:t>
      </w:r>
      <w:r w:rsidR="005856AB">
        <w:t xml:space="preserve">, Optus, 2022, </w:t>
      </w:r>
      <w:hyperlink r:id="rId3" w:history="1">
        <w:r w:rsidR="005856AB" w:rsidRPr="005856AB">
          <w:rPr>
            <w:rStyle w:val="Hyperlink"/>
          </w:rPr>
          <w:t>optus.gov.au/content-documents</w:t>
        </w:r>
      </w:hyperlink>
    </w:p>
  </w:footnote>
  <w:footnote w:id="5">
    <w:p w14:paraId="5828C325" w14:textId="6379303A" w:rsidR="001D5F9C" w:rsidRPr="00771A8F" w:rsidRDefault="001D5F9C">
      <w:pPr>
        <w:pStyle w:val="FootnoteText"/>
        <w:rPr>
          <w:rStyle w:val="Hyperlink"/>
          <w:rFonts w:ascii="Arial" w:hAnsi="Arial" w:cs="Arial"/>
          <w:color w:val="auto"/>
          <w:sz w:val="18"/>
          <w:szCs w:val="18"/>
          <w:u w:val="none"/>
        </w:rPr>
      </w:pPr>
      <w:r w:rsidRPr="00771A8F">
        <w:rPr>
          <w:rStyle w:val="FootnoteReference"/>
          <w:rFonts w:ascii="Arial" w:hAnsi="Arial" w:cs="Arial"/>
          <w:sz w:val="18"/>
          <w:szCs w:val="18"/>
        </w:rPr>
        <w:footnoteRef/>
      </w:r>
      <w:r w:rsidRPr="00771A8F">
        <w:rPr>
          <w:rFonts w:ascii="Arial" w:hAnsi="Arial" w:cs="Arial"/>
          <w:sz w:val="18"/>
          <w:szCs w:val="18"/>
        </w:rPr>
        <w:t xml:space="preserve"> </w:t>
      </w:r>
      <w:r w:rsidR="009577E5">
        <w:rPr>
          <w:rStyle w:val="Hyperlink"/>
          <w:rFonts w:ascii="Arial" w:hAnsi="Arial" w:cs="Arial"/>
          <w:color w:val="auto"/>
          <w:sz w:val="18"/>
          <w:szCs w:val="18"/>
          <w:u w:val="none"/>
        </w:rPr>
        <w:t xml:space="preserve">Slater and Gordon commences class action against Optus over data breach, Slater and Gordon media release, 2023, </w:t>
      </w:r>
      <w:hyperlink r:id="rId4" w:history="1">
        <w:r w:rsidR="002F1A69" w:rsidRPr="00D92AC2">
          <w:rPr>
            <w:rStyle w:val="Hyperlink"/>
            <w:rFonts w:ascii="Arial" w:hAnsi="Arial" w:cs="Arial"/>
            <w:sz w:val="18"/>
            <w:szCs w:val="18"/>
          </w:rPr>
          <w:t>slatergordon.com.au/media</w:t>
        </w:r>
      </w:hyperlink>
    </w:p>
  </w:footnote>
  <w:footnote w:id="6">
    <w:p w14:paraId="497C1DA5" w14:textId="19990E8B" w:rsidR="003257EC" w:rsidRPr="008F3D27" w:rsidRDefault="003257EC" w:rsidP="003257EC">
      <w:pPr>
        <w:pStyle w:val="FootnoteText"/>
        <w:rPr>
          <w:rFonts w:ascii="Arial" w:hAnsi="Arial" w:cs="Arial"/>
          <w:sz w:val="18"/>
          <w:szCs w:val="18"/>
        </w:rPr>
      </w:pPr>
      <w:r w:rsidRPr="008F3D27">
        <w:rPr>
          <w:rStyle w:val="FootnoteReference"/>
          <w:rFonts w:ascii="Arial" w:hAnsi="Arial" w:cs="Arial"/>
          <w:sz w:val="18"/>
          <w:szCs w:val="18"/>
        </w:rPr>
        <w:footnoteRef/>
      </w:r>
      <w:r w:rsidRPr="008F3D27">
        <w:rPr>
          <w:rFonts w:ascii="Arial" w:hAnsi="Arial" w:cs="Arial"/>
          <w:sz w:val="18"/>
          <w:szCs w:val="18"/>
        </w:rPr>
        <w:t xml:space="preserve"> </w:t>
      </w:r>
      <w:r w:rsidR="00B115C4" w:rsidRPr="00771A8F">
        <w:t xml:space="preserve">Case Study: </w:t>
      </w:r>
      <w:proofErr w:type="spellStart"/>
      <w:r w:rsidR="00B115C4" w:rsidRPr="00771A8F">
        <w:t>Viasat</w:t>
      </w:r>
      <w:proofErr w:type="spellEnd"/>
      <w:r w:rsidR="00B115C4" w:rsidRPr="00771A8F">
        <w:t xml:space="preserve"> Attack, </w:t>
      </w:r>
      <w:proofErr w:type="spellStart"/>
      <w:r w:rsidR="00B115C4" w:rsidRPr="00771A8F">
        <w:t>cyberconflicts</w:t>
      </w:r>
      <w:proofErr w:type="spellEnd"/>
      <w:r w:rsidR="00B115C4" w:rsidRPr="00771A8F">
        <w:t xml:space="preserve">, 2022, </w:t>
      </w:r>
      <w:hyperlink r:id="rId5" w:history="1">
        <w:r w:rsidR="00B115C4" w:rsidRPr="00771A8F">
          <w:rPr>
            <w:rStyle w:val="Hyperlink"/>
            <w:rFonts w:ascii="Arial" w:hAnsi="Arial" w:cs="Arial"/>
            <w:sz w:val="18"/>
            <w:szCs w:val="18"/>
          </w:rPr>
          <w:t>cyberconflicts.cyberpeaceinstitute.org</w:t>
        </w:r>
      </w:hyperlink>
    </w:p>
  </w:footnote>
  <w:footnote w:id="7">
    <w:p w14:paraId="39FFEEDB" w14:textId="7C423BBC" w:rsidR="00B55142" w:rsidRDefault="00B55142">
      <w:pPr>
        <w:pStyle w:val="FootnoteText"/>
      </w:pPr>
      <w:r w:rsidRPr="008F3D27">
        <w:rPr>
          <w:rStyle w:val="FootnoteReference"/>
          <w:rFonts w:ascii="Arial" w:hAnsi="Arial" w:cs="Arial"/>
          <w:sz w:val="18"/>
          <w:szCs w:val="18"/>
        </w:rPr>
        <w:footnoteRef/>
      </w:r>
      <w:r w:rsidRPr="008F3D27">
        <w:rPr>
          <w:rFonts w:ascii="Arial" w:hAnsi="Arial" w:cs="Arial"/>
          <w:sz w:val="18"/>
          <w:szCs w:val="18"/>
        </w:rPr>
        <w:t xml:space="preserve"> </w:t>
      </w:r>
      <w:r w:rsidR="00593BF4" w:rsidRPr="00771A8F">
        <w:t xml:space="preserve">KA-SAT Network </w:t>
      </w:r>
      <w:proofErr w:type="spellStart"/>
      <w:r w:rsidR="00593BF4" w:rsidRPr="00771A8F">
        <w:t>cyber attack</w:t>
      </w:r>
      <w:proofErr w:type="spellEnd"/>
      <w:r w:rsidR="00593BF4" w:rsidRPr="00771A8F">
        <w:t xml:space="preserve"> overview</w:t>
      </w:r>
      <w:r w:rsidR="00593BF4">
        <w:rPr>
          <w:rFonts w:ascii="Arial" w:hAnsi="Arial" w:cs="Arial"/>
          <w:sz w:val="18"/>
          <w:szCs w:val="18"/>
        </w:rPr>
        <w:t xml:space="preserve">, 2022, </w:t>
      </w:r>
      <w:hyperlink r:id="rId6" w:history="1">
        <w:r w:rsidR="00593BF4" w:rsidRPr="00593BF4">
          <w:rPr>
            <w:rStyle w:val="Hyperlink"/>
            <w:rFonts w:ascii="Arial" w:hAnsi="Arial" w:cs="Arial"/>
            <w:sz w:val="18"/>
            <w:szCs w:val="18"/>
          </w:rPr>
          <w:t>news.viasat.com</w:t>
        </w:r>
      </w:hyperlink>
      <w:r>
        <w:t xml:space="preserve"> </w:t>
      </w:r>
    </w:p>
  </w:footnote>
  <w:footnote w:id="8">
    <w:p w14:paraId="7AF33A0C" w14:textId="13FAA35F" w:rsidR="00071A37" w:rsidRPr="0079597C" w:rsidRDefault="00071A37">
      <w:pPr>
        <w:pStyle w:val="FootnoteText"/>
        <w:rPr>
          <w:rFonts w:ascii="Arial" w:hAnsi="Arial" w:cs="Arial"/>
          <w:color w:val="000000" w:themeColor="text1"/>
          <w:sz w:val="18"/>
          <w:szCs w:val="18"/>
        </w:rPr>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r w:rsidR="00AC7049" w:rsidRPr="00771A8F">
        <w:t>Final-Report-of-the-NSW-Bushfire-Inquiry.pdf</w:t>
      </w:r>
      <w:r w:rsidR="00AC7049">
        <w:rPr>
          <w:rFonts w:ascii="Arial" w:hAnsi="Arial" w:cs="Arial"/>
          <w:sz w:val="18"/>
          <w:szCs w:val="18"/>
        </w:rPr>
        <w:t xml:space="preserve">, NSW Government, </w:t>
      </w:r>
      <w:hyperlink r:id="rId7" w:history="1">
        <w:r w:rsidR="00AC7049" w:rsidRPr="00AC7049">
          <w:rPr>
            <w:rStyle w:val="Hyperlink"/>
            <w:rFonts w:ascii="Arial" w:hAnsi="Arial" w:cs="Arial"/>
            <w:sz w:val="18"/>
            <w:szCs w:val="18"/>
          </w:rPr>
          <w:t>nsw.gov.au</w:t>
        </w:r>
      </w:hyperlink>
    </w:p>
  </w:footnote>
  <w:footnote w:id="9">
    <w:p w14:paraId="123ACF6C" w14:textId="2C7617F2" w:rsidR="00C63E72" w:rsidRPr="0079597C" w:rsidRDefault="00C63E72">
      <w:pPr>
        <w:pStyle w:val="FootnoteText"/>
        <w:rPr>
          <w:rFonts w:ascii="Arial" w:hAnsi="Arial" w:cs="Arial"/>
          <w:color w:val="000000" w:themeColor="text1"/>
          <w:sz w:val="18"/>
          <w:szCs w:val="18"/>
        </w:rPr>
      </w:pPr>
      <w:r w:rsidRPr="0079597C">
        <w:rPr>
          <w:rStyle w:val="FootnoteReference"/>
          <w:rFonts w:ascii="Arial" w:hAnsi="Arial" w:cs="Arial"/>
          <w:color w:val="000000" w:themeColor="text1"/>
          <w:sz w:val="18"/>
          <w:szCs w:val="18"/>
        </w:rPr>
        <w:footnoteRef/>
      </w:r>
      <w:r w:rsidR="00B63EBA">
        <w:rPr>
          <w:rFonts w:ascii="Arial" w:hAnsi="Arial" w:cs="Arial"/>
          <w:color w:val="000000" w:themeColor="text1"/>
          <w:sz w:val="18"/>
          <w:szCs w:val="18"/>
        </w:rPr>
        <w:t xml:space="preserve"> </w:t>
      </w:r>
      <w:r w:rsidR="00A27523" w:rsidRPr="00771A8F">
        <w:t>Impacts of the 2019-20 bushfires on the telecommunications network</w:t>
      </w:r>
      <w:r w:rsidR="00A27523">
        <w:rPr>
          <w:rFonts w:ascii="Arial" w:hAnsi="Arial" w:cs="Arial"/>
          <w:sz w:val="18"/>
          <w:szCs w:val="18"/>
        </w:rPr>
        <w:t xml:space="preserve">, </w:t>
      </w:r>
      <w:r w:rsidR="00BC2ED1">
        <w:rPr>
          <w:rFonts w:ascii="Arial" w:hAnsi="Arial" w:cs="Arial"/>
          <w:sz w:val="18"/>
          <w:szCs w:val="18"/>
        </w:rPr>
        <w:t xml:space="preserve">ACMA, 2020, </w:t>
      </w:r>
      <w:hyperlink r:id="rId8" w:history="1">
        <w:r w:rsidR="00BC2ED1" w:rsidRPr="00BC2ED1">
          <w:rPr>
            <w:rStyle w:val="Hyperlink"/>
            <w:rFonts w:ascii="Arial" w:hAnsi="Arial" w:cs="Arial"/>
            <w:sz w:val="18"/>
            <w:szCs w:val="18"/>
          </w:rPr>
          <w:t>acma.gov.au</w:t>
        </w:r>
      </w:hyperlink>
      <w:r w:rsidR="007A1143" w:rsidRPr="008D3F91">
        <w:rPr>
          <w:rFonts w:ascii="Arial" w:hAnsi="Arial" w:cs="Arial"/>
          <w:color w:val="000000" w:themeColor="text1"/>
          <w:sz w:val="18"/>
          <w:szCs w:val="18"/>
        </w:rPr>
        <w:t xml:space="preserve">; </w:t>
      </w:r>
      <w:r w:rsidR="00242F5E" w:rsidRPr="00771A8F">
        <w:t>Final-Report-of-the-NSW-Bushfire-Inquir</w:t>
      </w:r>
      <w:r w:rsidR="00242F5E">
        <w:rPr>
          <w:rFonts w:ascii="Arial" w:hAnsi="Arial" w:cs="Arial"/>
          <w:sz w:val="18"/>
          <w:szCs w:val="18"/>
        </w:rPr>
        <w:t xml:space="preserve">y, NSW Government, </w:t>
      </w:r>
      <w:hyperlink r:id="rId9" w:history="1">
        <w:r w:rsidR="00242F5E" w:rsidRPr="00242F5E">
          <w:rPr>
            <w:rStyle w:val="Hyperlink"/>
            <w:rFonts w:ascii="Arial" w:hAnsi="Arial" w:cs="Arial"/>
            <w:sz w:val="18"/>
            <w:szCs w:val="18"/>
          </w:rPr>
          <w:t>nsw.gov.au</w:t>
        </w:r>
      </w:hyperlink>
    </w:p>
  </w:footnote>
  <w:footnote w:id="10">
    <w:p w14:paraId="00EC82A3" w14:textId="49815BAE" w:rsidR="00CD345C" w:rsidRPr="0079597C" w:rsidRDefault="00CD345C">
      <w:pPr>
        <w:pStyle w:val="FootnoteText"/>
        <w:rPr>
          <w:rFonts w:ascii="Arial" w:hAnsi="Arial" w:cs="Arial"/>
          <w:color w:val="000000" w:themeColor="text1"/>
          <w:sz w:val="18"/>
          <w:szCs w:val="18"/>
        </w:rPr>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r w:rsidR="007810BE" w:rsidRPr="00FF323D">
        <w:rPr>
          <w:rFonts w:ascii="Arial" w:hAnsi="Arial" w:cs="Arial"/>
          <w:sz w:val="18"/>
          <w:szCs w:val="18"/>
        </w:rPr>
        <w:t>Impacts of the 2019-20 bushfires on the telecommunications network</w:t>
      </w:r>
      <w:r w:rsidR="007810BE">
        <w:rPr>
          <w:rFonts w:ascii="Arial" w:hAnsi="Arial" w:cs="Arial"/>
          <w:sz w:val="18"/>
          <w:szCs w:val="18"/>
        </w:rPr>
        <w:t xml:space="preserve">, ACMA, 2020, </w:t>
      </w:r>
      <w:hyperlink r:id="rId10" w:history="1">
        <w:r w:rsidR="007810BE" w:rsidRPr="00BC2ED1">
          <w:rPr>
            <w:rStyle w:val="Hyperlink"/>
            <w:rFonts w:ascii="Arial" w:hAnsi="Arial" w:cs="Arial"/>
            <w:sz w:val="18"/>
            <w:szCs w:val="18"/>
          </w:rPr>
          <w:t>acma.gov.au</w:t>
        </w:r>
      </w:hyperlink>
      <w:r w:rsidR="007810BE" w:rsidRPr="008D3F91">
        <w:rPr>
          <w:rFonts w:ascii="Arial" w:hAnsi="Arial" w:cs="Arial"/>
          <w:color w:val="000000" w:themeColor="text1"/>
          <w:sz w:val="18"/>
          <w:szCs w:val="18"/>
        </w:rPr>
        <w:t xml:space="preserve">; </w:t>
      </w:r>
      <w:r w:rsidR="007810BE" w:rsidRPr="00FF323D">
        <w:rPr>
          <w:rFonts w:ascii="Arial" w:hAnsi="Arial" w:cs="Arial"/>
          <w:sz w:val="18"/>
          <w:szCs w:val="18"/>
        </w:rPr>
        <w:t>Final-Report-of-the-NSW-Bushfire-Inquir</w:t>
      </w:r>
      <w:r w:rsidR="007810BE">
        <w:rPr>
          <w:rFonts w:ascii="Arial" w:hAnsi="Arial" w:cs="Arial"/>
          <w:sz w:val="18"/>
          <w:szCs w:val="18"/>
        </w:rPr>
        <w:t xml:space="preserve">y, NSW Government, </w:t>
      </w:r>
      <w:hyperlink r:id="rId11" w:history="1">
        <w:r w:rsidR="007810BE" w:rsidRPr="00242F5E">
          <w:rPr>
            <w:rStyle w:val="Hyperlink"/>
            <w:rFonts w:ascii="Arial" w:hAnsi="Arial" w:cs="Arial"/>
            <w:sz w:val="18"/>
            <w:szCs w:val="18"/>
          </w:rPr>
          <w:t>nsw.gov.au</w:t>
        </w:r>
      </w:hyperlink>
    </w:p>
  </w:footnote>
  <w:footnote w:id="11">
    <w:p w14:paraId="74C8BB3F" w14:textId="02A707F8" w:rsidR="00C82C44" w:rsidRPr="0079597C" w:rsidRDefault="00C82C44">
      <w:pPr>
        <w:pStyle w:val="FootnoteText"/>
        <w:rPr>
          <w:rFonts w:ascii="Arial" w:hAnsi="Arial" w:cs="Arial"/>
          <w:color w:val="000000" w:themeColor="text1"/>
          <w:sz w:val="18"/>
          <w:szCs w:val="18"/>
        </w:rPr>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r w:rsidR="000065BA">
        <w:rPr>
          <w:rFonts w:ascii="Arial" w:hAnsi="Arial" w:cs="Arial"/>
          <w:color w:val="000000" w:themeColor="text1"/>
          <w:sz w:val="18"/>
          <w:szCs w:val="18"/>
        </w:rPr>
        <w:t>KDDI aims</w:t>
      </w:r>
      <w:r w:rsidR="006C0A76">
        <w:rPr>
          <w:rFonts w:ascii="Arial" w:hAnsi="Arial" w:cs="Arial"/>
          <w:color w:val="000000" w:themeColor="text1"/>
          <w:sz w:val="18"/>
          <w:szCs w:val="18"/>
        </w:rPr>
        <w:t xml:space="preserve"> to restore service</w:t>
      </w:r>
      <w:r w:rsidR="00726B82">
        <w:rPr>
          <w:rFonts w:ascii="Arial" w:hAnsi="Arial" w:cs="Arial"/>
          <w:color w:val="000000" w:themeColor="text1"/>
          <w:sz w:val="18"/>
          <w:szCs w:val="18"/>
        </w:rPr>
        <w:t>, Reuters, 2022</w:t>
      </w:r>
      <w:r w:rsidR="00D826BA">
        <w:rPr>
          <w:rFonts w:ascii="Arial" w:hAnsi="Arial" w:cs="Arial"/>
          <w:color w:val="000000" w:themeColor="text1"/>
          <w:sz w:val="18"/>
          <w:szCs w:val="18"/>
        </w:rPr>
        <w:t xml:space="preserve">, </w:t>
      </w:r>
      <w:hyperlink r:id="rId12" w:history="1">
        <w:r w:rsidR="00D826BA" w:rsidRPr="00D826BA">
          <w:rPr>
            <w:rStyle w:val="Hyperlink"/>
            <w:rFonts w:ascii="Arial" w:hAnsi="Arial" w:cs="Arial"/>
            <w:sz w:val="18"/>
            <w:szCs w:val="18"/>
          </w:rPr>
          <w:t>reuters.com/business/media</w:t>
        </w:r>
      </w:hyperlink>
      <w:r w:rsidR="006C0A76">
        <w:rPr>
          <w:rFonts w:ascii="Arial" w:hAnsi="Arial" w:cs="Arial"/>
          <w:color w:val="000000" w:themeColor="text1"/>
          <w:sz w:val="18"/>
          <w:szCs w:val="18"/>
        </w:rPr>
        <w:t xml:space="preserve"> </w:t>
      </w:r>
    </w:p>
  </w:footnote>
  <w:footnote w:id="12">
    <w:p w14:paraId="402BE913" w14:textId="6D4829D3" w:rsidR="00C32FB5" w:rsidRPr="0079597C" w:rsidRDefault="00C32FB5">
      <w:pPr>
        <w:pStyle w:val="FootnoteText"/>
        <w:rPr>
          <w:rFonts w:ascii="Arial" w:hAnsi="Arial" w:cs="Arial"/>
          <w:color w:val="000000" w:themeColor="text1"/>
          <w:sz w:val="18"/>
          <w:szCs w:val="18"/>
        </w:rPr>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r w:rsidR="00AD31B7">
        <w:rPr>
          <w:rFonts w:ascii="Arial" w:hAnsi="Arial" w:cs="Arial"/>
          <w:color w:val="000000" w:themeColor="text1"/>
          <w:sz w:val="18"/>
          <w:szCs w:val="18"/>
        </w:rPr>
        <w:t xml:space="preserve">Telecom network outages, the ESG risks of a connected world, 2022, </w:t>
      </w:r>
      <w:proofErr w:type="spellStart"/>
      <w:r w:rsidR="00AD31B7">
        <w:rPr>
          <w:rFonts w:ascii="Arial" w:hAnsi="Arial" w:cs="Arial"/>
          <w:color w:val="000000" w:themeColor="text1"/>
          <w:sz w:val="18"/>
          <w:szCs w:val="18"/>
        </w:rPr>
        <w:t>Sustainalytics</w:t>
      </w:r>
      <w:proofErr w:type="spellEnd"/>
      <w:r w:rsidR="00AD31B7">
        <w:rPr>
          <w:rFonts w:ascii="Arial" w:hAnsi="Arial" w:cs="Arial"/>
          <w:color w:val="000000" w:themeColor="text1"/>
          <w:sz w:val="18"/>
          <w:szCs w:val="18"/>
        </w:rPr>
        <w:t xml:space="preserve">, </w:t>
      </w:r>
      <w:hyperlink r:id="rId13" w:history="1">
        <w:proofErr w:type="spellStart"/>
        <w:r w:rsidR="00AD31B7" w:rsidRPr="005B7C62">
          <w:rPr>
            <w:rStyle w:val="Hyperlink"/>
            <w:rFonts w:ascii="Arial" w:hAnsi="Arial" w:cs="Arial"/>
            <w:sz w:val="18"/>
            <w:szCs w:val="18"/>
          </w:rPr>
          <w:t>Sustainalytics.com.esg</w:t>
        </w:r>
        <w:proofErr w:type="spellEnd"/>
        <w:r w:rsidR="00AD31B7" w:rsidRPr="005B7C62">
          <w:rPr>
            <w:rStyle w:val="Hyperlink"/>
            <w:rFonts w:ascii="Arial" w:hAnsi="Arial" w:cs="Arial"/>
            <w:sz w:val="18"/>
            <w:szCs w:val="18"/>
          </w:rPr>
          <w:t>-research</w:t>
        </w:r>
      </w:hyperlink>
      <w:r w:rsidR="00CD6F42" w:rsidRPr="0079597C">
        <w:rPr>
          <w:rFonts w:ascii="Arial" w:hAnsi="Arial" w:cs="Arial"/>
          <w:color w:val="000000" w:themeColor="text1"/>
          <w:sz w:val="18"/>
          <w:szCs w:val="18"/>
        </w:rPr>
        <w:t xml:space="preserve"> </w:t>
      </w:r>
    </w:p>
  </w:footnote>
  <w:footnote w:id="13">
    <w:p w14:paraId="4A3AA8CF" w14:textId="7F74D0B2" w:rsidR="009916AC" w:rsidRDefault="009916AC">
      <w:pPr>
        <w:pStyle w:val="FootnoteText"/>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r w:rsidR="005B7C62">
        <w:rPr>
          <w:rFonts w:ascii="Arial" w:hAnsi="Arial" w:cs="Arial"/>
          <w:color w:val="000000" w:themeColor="text1"/>
          <w:sz w:val="18"/>
          <w:szCs w:val="18"/>
        </w:rPr>
        <w:t xml:space="preserve">KDDI aims to restore service, Reuters, 2022, </w:t>
      </w:r>
      <w:hyperlink r:id="rId14" w:history="1">
        <w:r w:rsidR="005B7C62" w:rsidRPr="00D826BA">
          <w:rPr>
            <w:rStyle w:val="Hyperlink"/>
            <w:rFonts w:ascii="Arial" w:hAnsi="Arial" w:cs="Arial"/>
            <w:sz w:val="18"/>
            <w:szCs w:val="18"/>
          </w:rPr>
          <w:t>reuters.com/business/media</w:t>
        </w:r>
      </w:hyperlink>
      <w:r w:rsidRPr="0079597C">
        <w:rPr>
          <w:rFonts w:ascii="Arial" w:hAnsi="Arial" w:cs="Arial"/>
          <w:color w:val="000000" w:themeColor="text1"/>
          <w:sz w:val="18"/>
          <w:szCs w:val="18"/>
        </w:rPr>
        <w:t xml:space="preserve"> </w:t>
      </w:r>
    </w:p>
  </w:footnote>
  <w:footnote w:id="14">
    <w:p w14:paraId="5C74D922" w14:textId="7074AA56" w:rsidR="00F82E47" w:rsidRDefault="00F82E47" w:rsidP="00F82E47">
      <w:pPr>
        <w:pStyle w:val="FootnoteText"/>
      </w:pPr>
      <w:r>
        <w:rPr>
          <w:rStyle w:val="FootnoteReference"/>
        </w:rPr>
        <w:footnoteRef/>
      </w:r>
      <w:r>
        <w:t xml:space="preserve"> </w:t>
      </w:r>
      <w:r>
        <w:rPr>
          <w:sz w:val="16"/>
          <w:szCs w:val="16"/>
        </w:rPr>
        <w:t xml:space="preserve">Information about the methodology for calculating the costs from 2021-22 consultation period can be found in the </w:t>
      </w:r>
      <w:r w:rsidRPr="000D2B78">
        <w:rPr>
          <w:sz w:val="16"/>
          <w:szCs w:val="16"/>
        </w:rPr>
        <w:t xml:space="preserve">2022 RIS </w:t>
      </w:r>
      <w:hyperlink r:id="rId15" w:history="1">
        <w:r w:rsidRPr="002619A4">
          <w:rPr>
            <w:rStyle w:val="Hyperlink"/>
            <w:rFonts w:ascii="Arial" w:hAnsi="Arial" w:cs="Arial"/>
            <w:sz w:val="16"/>
            <w:szCs w:val="16"/>
          </w:rPr>
          <w:t>here.</w:t>
        </w:r>
      </w:hyperlink>
    </w:p>
  </w:footnote>
  <w:footnote w:id="15">
    <w:p w14:paraId="2B8393AA" w14:textId="3AC4E0B5" w:rsidR="00F22725" w:rsidRPr="0079597C" w:rsidRDefault="00F22725">
      <w:pPr>
        <w:pStyle w:val="FootnoteText"/>
        <w:rPr>
          <w:rFonts w:ascii="Arial" w:hAnsi="Arial" w:cs="Arial"/>
          <w:sz w:val="18"/>
          <w:szCs w:val="18"/>
        </w:rPr>
      </w:pPr>
      <w:r w:rsidRPr="0079597C">
        <w:rPr>
          <w:rStyle w:val="FootnoteReference"/>
          <w:rFonts w:ascii="Arial" w:hAnsi="Arial" w:cs="Arial"/>
          <w:color w:val="000000" w:themeColor="text1"/>
          <w:sz w:val="18"/>
          <w:szCs w:val="18"/>
        </w:rPr>
        <w:footnoteRef/>
      </w:r>
      <w:r w:rsidRPr="0079597C">
        <w:rPr>
          <w:rFonts w:ascii="Arial" w:hAnsi="Arial" w:cs="Arial"/>
          <w:color w:val="000000" w:themeColor="text1"/>
          <w:sz w:val="18"/>
          <w:szCs w:val="18"/>
        </w:rPr>
        <w:t xml:space="preserve"> </w:t>
      </w:r>
      <w:hyperlink r:id="rId16" w:history="1">
        <w:proofErr w:type="spellStart"/>
        <w:r w:rsidR="00497B7D" w:rsidRPr="0079597C">
          <w:rPr>
            <w:rStyle w:val="Hyperlink"/>
            <w:rFonts w:ascii="Arial" w:hAnsi="Arial" w:cs="Arial"/>
            <w:color w:val="000000" w:themeColor="text1"/>
            <w:sz w:val="18"/>
            <w:szCs w:val="18"/>
            <w:u w:val="none"/>
          </w:rPr>
          <w:t>ParlInfo</w:t>
        </w:r>
        <w:proofErr w:type="spellEnd"/>
        <w:r w:rsidR="00497B7D" w:rsidRPr="0079597C">
          <w:rPr>
            <w:rStyle w:val="Hyperlink"/>
            <w:rFonts w:ascii="Arial" w:hAnsi="Arial" w:cs="Arial"/>
            <w:color w:val="000000" w:themeColor="text1"/>
            <w:sz w:val="18"/>
            <w:szCs w:val="18"/>
            <w:u w:val="none"/>
          </w:rPr>
          <w:t xml:space="preserve"> - Telecommunications and Other Legislation Amendment Bill 2017 (aph.gov.au)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6E0E" w14:textId="112EEA28" w:rsidR="007845C8" w:rsidRDefault="007845C8">
    <w:pPr>
      <w:pStyle w:val="Header"/>
    </w:pPr>
    <w:r>
      <w:rPr>
        <w:noProof/>
        <w:lang w:eastAsia="en-AU"/>
      </w:rPr>
      <mc:AlternateContent>
        <mc:Choice Requires="wps">
          <w:drawing>
            <wp:anchor distT="0" distB="0" distL="0" distR="0" simplePos="0" relativeHeight="251658241" behindDoc="0" locked="0" layoutInCell="1" allowOverlap="1" wp14:anchorId="4FD9BBE0" wp14:editId="13F357D1">
              <wp:simplePos x="635" y="635"/>
              <wp:positionH relativeFrom="page">
                <wp:align>center</wp:align>
              </wp:positionH>
              <wp:positionV relativeFrom="page">
                <wp:align>top</wp:align>
              </wp:positionV>
              <wp:extent cx="552450" cy="390525"/>
              <wp:effectExtent l="0" t="0" r="0" b="9525"/>
              <wp:wrapNone/>
              <wp:docPr id="2"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4A023514" w14:textId="51BB27D1"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FD9BBE0"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" filled="f" stroked="f">
              <v:textbox style="mso-fit-shape-to-text:t" inset="0,15pt,0,0">
                <w:txbxContent>
                  <w:p w14:paraId="4A023514" w14:textId="51BB27D1"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ACB4" w14:textId="77777777" w:rsidR="001D03D1" w:rsidRDefault="001D0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718B" w14:textId="7282C4FC" w:rsidR="007845C8" w:rsidRDefault="007845C8">
    <w:pPr>
      <w:pStyle w:val="Header"/>
    </w:pPr>
    <w:r>
      <w:rPr>
        <w:noProof/>
        <w:lang w:eastAsia="en-AU"/>
      </w:rPr>
      <mc:AlternateContent>
        <mc:Choice Requires="wps">
          <w:drawing>
            <wp:anchor distT="0" distB="0" distL="0" distR="0" simplePos="0" relativeHeight="251658240" behindDoc="0" locked="0" layoutInCell="1" allowOverlap="1" wp14:anchorId="1DCBEA44" wp14:editId="005B1DF8">
              <wp:simplePos x="635" y="635"/>
              <wp:positionH relativeFrom="page">
                <wp:align>center</wp:align>
              </wp:positionH>
              <wp:positionV relativeFrom="page">
                <wp:align>top</wp:align>
              </wp:positionV>
              <wp:extent cx="552450" cy="390525"/>
              <wp:effectExtent l="0" t="0" r="0" b="9525"/>
              <wp:wrapNone/>
              <wp:docPr id="1"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49517BF" w14:textId="36BCB43B"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DCBEA44" id="_x0000_t202" coordsize="21600,21600" o:spt="202" path="m,l,21600r21600,l21600,xe">
              <v:stroke joinstyle="miter"/>
              <v:path gradientshapeok="t" o:connecttype="rect"/>
            </v:shapetype>
            <v:shape id="Text Box 1" o:spid="_x0000_s1030" type="#_x0000_t202" alt="OFFICIAL" style="position:absolute;margin-left:0;margin-top:0;width:43.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" filled="f" stroked="f">
              <v:textbox style="mso-fit-shape-to-text:t" inset="0,15pt,0,0">
                <w:txbxContent>
                  <w:p w14:paraId="149517BF" w14:textId="36BCB43B" w:rsidR="007845C8" w:rsidRPr="007845C8" w:rsidRDefault="007845C8" w:rsidP="007845C8">
                    <w:pPr>
                      <w:spacing w:after="0"/>
                      <w:rPr>
                        <w:rFonts w:ascii="Calibri" w:eastAsia="Calibri" w:hAnsi="Calibri" w:cs="Calibri"/>
                        <w:noProof/>
                        <w:color w:val="FF0000"/>
                        <w:sz w:val="24"/>
                        <w:szCs w:val="24"/>
                      </w:rPr>
                    </w:pPr>
                    <w:r w:rsidRPr="007845C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77A"/>
    <w:multiLevelType w:val="singleLevel"/>
    <w:tmpl w:val="EFAC1B9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8351880"/>
    <w:multiLevelType w:val="hybridMultilevel"/>
    <w:tmpl w:val="2806D8E0"/>
    <w:lvl w:ilvl="0" w:tplc="FFFFFFFF">
      <w:start w:val="1"/>
      <w:numFmt w:val="bullet"/>
      <w:lvlText w:val=""/>
      <w:lvlJc w:val="left"/>
      <w:pPr>
        <w:tabs>
          <w:tab w:val="num" w:pos="340"/>
        </w:tabs>
        <w:ind w:left="340" w:hanging="340"/>
      </w:pPr>
      <w:rPr>
        <w:rFonts w:ascii="Symbol" w:hAnsi="Symbol" w:hint="default"/>
        <w:color w:val="auto"/>
        <w:sz w:val="22"/>
      </w:rPr>
    </w:lvl>
    <w:lvl w:ilvl="1" w:tplc="FFFFFFFF">
      <w:numFmt w:val="decimal"/>
      <w:lvlText w:val=""/>
      <w:lvlJc w:val="left"/>
    </w:lvl>
    <w:lvl w:ilvl="2" w:tplc="FFFFFFFF">
      <w:numFmt w:val="decimal"/>
      <w:lvlText w:val=""/>
      <w:lvlJc w:val="left"/>
    </w:lvl>
    <w:lvl w:ilvl="3" w:tplc="FFFFFFFF">
      <w:start w:val="1"/>
      <w:numFmt w:val="bullet"/>
      <w:lvlText w:val="o"/>
      <w:lvlJc w:val="left"/>
      <w:rPr>
        <w:rFonts w:ascii="Courier New" w:hAnsi="Courier New" w:hint="default"/>
      </w:rPr>
    </w:lvl>
    <w:lvl w:ilvl="4" w:tplc="FFFFFFFF">
      <w:start w:val="1"/>
      <w:numFmt w:val="bullet"/>
      <w:lvlText w:val=""/>
      <w:lvlJc w:val="left"/>
      <w:pPr>
        <w:ind w:left="360" w:hanging="360"/>
      </w:pPr>
      <w:rPr>
        <w:rFonts w:ascii="Symbol" w:hAnsi="Symbol" w:hint="default"/>
      </w:rPr>
    </w:lvl>
    <w:lvl w:ilvl="5" w:tplc="FFFFFFFF">
      <w:numFmt w:val="decimal"/>
      <w:lvlText w:val=""/>
      <w:lvlJc w:val="left"/>
    </w:lvl>
    <w:lvl w:ilvl="6" w:tplc="0C09000F">
      <w:start w:val="1"/>
      <w:numFmt w:val="decimal"/>
      <w:lvlText w:val="%7."/>
      <w:lvlJc w:val="left"/>
      <w:pPr>
        <w:ind w:left="360" w:hanging="360"/>
      </w:pPr>
    </w:lvl>
    <w:lvl w:ilvl="7" w:tplc="FFFFFFFF">
      <w:numFmt w:val="decimal"/>
      <w:lvlText w:val=""/>
      <w:lvlJc w:val="left"/>
    </w:lvl>
    <w:lvl w:ilvl="8" w:tplc="FFFFFFFF">
      <w:numFmt w:val="decimal"/>
      <w:lvlText w:val=""/>
      <w:lvlJc w:val="left"/>
    </w:lvl>
  </w:abstractNum>
  <w:abstractNum w:abstractNumId="2" w15:restartNumberingAfterBreak="0">
    <w:nsid w:val="09CE60A3"/>
    <w:multiLevelType w:val="singleLevel"/>
    <w:tmpl w:val="EAA093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FFFFFFFF">
      <w:start w:val="1"/>
      <w:numFmt w:val="bullet"/>
      <w:lvlText w:val="o"/>
      <w:lvlJc w:val="left"/>
      <w:rPr>
        <w:rFonts w:ascii="Courier New" w:hAnsi="Courier New" w:hint="default"/>
      </w:rPr>
    </w:lvl>
    <w:lvl w:ilvl="4" w:tplc="FFFFFFFF">
      <w:start w:val="1"/>
      <w:numFmt w:val="bullet"/>
      <w:lvlText w:val="o"/>
      <w:lvlJc w:val="left"/>
      <w:rPr>
        <w:rFonts w:ascii="Courier New" w:hAnsi="Courier New" w:hint="default"/>
      </w:rPr>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05E180E"/>
    <w:multiLevelType w:val="singleLevel"/>
    <w:tmpl w:val="ACA603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12AF6D70"/>
    <w:multiLevelType w:val="singleLevel"/>
    <w:tmpl w:val="8B083A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13EA1BB8"/>
    <w:multiLevelType w:val="multilevel"/>
    <w:tmpl w:val="ADCABCC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 w15:restartNumberingAfterBreak="0">
    <w:nsid w:val="15AA48C3"/>
    <w:multiLevelType w:val="singleLevel"/>
    <w:tmpl w:val="75A0F6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8D56A85"/>
    <w:multiLevelType w:val="hybridMultilevel"/>
    <w:tmpl w:val="D2B4D5F6"/>
    <w:lvl w:ilvl="0" w:tplc="C0A631A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A402DF9"/>
    <w:multiLevelType w:val="singleLevel"/>
    <w:tmpl w:val="6D8032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1ACB170D"/>
    <w:multiLevelType w:val="singleLevel"/>
    <w:tmpl w:val="53C41B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219B5F71"/>
    <w:multiLevelType w:val="singleLevel"/>
    <w:tmpl w:val="CF125E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28C30D86"/>
    <w:multiLevelType w:val="multilevel"/>
    <w:tmpl w:val="DA5C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79F7"/>
    <w:multiLevelType w:val="singleLevel"/>
    <w:tmpl w:val="1848F1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29FE1F10"/>
    <w:multiLevelType w:val="singleLevel"/>
    <w:tmpl w:val="8D8CB2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2B8D757F"/>
    <w:multiLevelType w:val="singleLevel"/>
    <w:tmpl w:val="56567F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2C172007"/>
    <w:multiLevelType w:val="singleLevel"/>
    <w:tmpl w:val="CF56CD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2D670994"/>
    <w:multiLevelType w:val="singleLevel"/>
    <w:tmpl w:val="8E4C8C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0C373E6"/>
    <w:multiLevelType w:val="hybridMultilevel"/>
    <w:tmpl w:val="83803356"/>
    <w:lvl w:ilvl="0" w:tplc="3F98375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53B69C7"/>
    <w:multiLevelType w:val="singleLevel"/>
    <w:tmpl w:val="6A14F5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3A2A1272"/>
    <w:multiLevelType w:val="singleLevel"/>
    <w:tmpl w:val="E66C3E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40640C0A"/>
    <w:multiLevelType w:val="hybridMultilevel"/>
    <w:tmpl w:val="FB72E628"/>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2" w15:restartNumberingAfterBreak="0">
    <w:nsid w:val="424E6017"/>
    <w:multiLevelType w:val="singleLevel"/>
    <w:tmpl w:val="4A0064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4A16665F"/>
    <w:multiLevelType w:val="multilevel"/>
    <w:tmpl w:val="9BB023B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4" w15:restartNumberingAfterBreak="0">
    <w:nsid w:val="4B373950"/>
    <w:multiLevelType w:val="multilevel"/>
    <w:tmpl w:val="E66E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77DC1"/>
    <w:multiLevelType w:val="singleLevel"/>
    <w:tmpl w:val="8D266B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507D19C7"/>
    <w:multiLevelType w:val="singleLevel"/>
    <w:tmpl w:val="3D3460A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5B8E2853"/>
    <w:multiLevelType w:val="singleLevel"/>
    <w:tmpl w:val="DAEC46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5BAB0B54"/>
    <w:multiLevelType w:val="hybridMultilevel"/>
    <w:tmpl w:val="B372C3A8"/>
    <w:lvl w:ilvl="0" w:tplc="69CAF7E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5DBB0EC5"/>
    <w:multiLevelType w:val="singleLevel"/>
    <w:tmpl w:val="CD083CB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602D797E"/>
    <w:multiLevelType w:val="hybridMultilevel"/>
    <w:tmpl w:val="D05CE87E"/>
    <w:lvl w:ilvl="0" w:tplc="0C09000F">
      <w:start w:val="1"/>
      <w:numFmt w:val="decimal"/>
      <w:lvlText w:val="%1."/>
      <w:lvlJc w:val="left"/>
      <w:pPr>
        <w:ind w:left="81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F0B47"/>
    <w:multiLevelType w:val="singleLevel"/>
    <w:tmpl w:val="BF48D5B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3A04F0B"/>
    <w:multiLevelType w:val="singleLevel"/>
    <w:tmpl w:val="069619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66D0EDF7"/>
    <w:multiLevelType w:val="hybridMultilevel"/>
    <w:tmpl w:val="6A06D5E4"/>
    <w:lvl w:ilvl="0" w:tplc="4154BEF0">
      <w:start w:val="1"/>
      <w:numFmt w:val="bullet"/>
      <w:lvlText w:val="o"/>
      <w:lvlJc w:val="left"/>
      <w:pPr>
        <w:ind w:left="720" w:hanging="360"/>
      </w:pPr>
      <w:rPr>
        <w:rFonts w:ascii="Courier New" w:hAnsi="Courier New" w:hint="default"/>
      </w:rPr>
    </w:lvl>
    <w:lvl w:ilvl="1" w:tplc="A76422F4">
      <w:start w:val="1"/>
      <w:numFmt w:val="bullet"/>
      <w:lvlText w:val="o"/>
      <w:lvlJc w:val="left"/>
      <w:pPr>
        <w:ind w:left="1440" w:hanging="360"/>
      </w:pPr>
      <w:rPr>
        <w:rFonts w:ascii="Courier New" w:hAnsi="Courier New" w:hint="default"/>
      </w:rPr>
    </w:lvl>
    <w:lvl w:ilvl="2" w:tplc="2CD2F3F0">
      <w:start w:val="1"/>
      <w:numFmt w:val="bullet"/>
      <w:lvlText w:val=""/>
      <w:lvlJc w:val="left"/>
      <w:pPr>
        <w:ind w:left="2160" w:hanging="360"/>
      </w:pPr>
      <w:rPr>
        <w:rFonts w:ascii="Wingdings" w:hAnsi="Wingdings" w:hint="default"/>
      </w:rPr>
    </w:lvl>
    <w:lvl w:ilvl="3" w:tplc="E31A0D4C">
      <w:start w:val="1"/>
      <w:numFmt w:val="bullet"/>
      <w:lvlText w:val=""/>
      <w:lvlJc w:val="left"/>
      <w:pPr>
        <w:ind w:left="2880" w:hanging="360"/>
      </w:pPr>
      <w:rPr>
        <w:rFonts w:ascii="Symbol" w:hAnsi="Symbol" w:hint="default"/>
      </w:rPr>
    </w:lvl>
    <w:lvl w:ilvl="4" w:tplc="9C525B5C">
      <w:start w:val="1"/>
      <w:numFmt w:val="bullet"/>
      <w:lvlText w:val="o"/>
      <w:lvlJc w:val="left"/>
      <w:pPr>
        <w:ind w:left="3600" w:hanging="360"/>
      </w:pPr>
      <w:rPr>
        <w:rFonts w:ascii="Courier New" w:hAnsi="Courier New" w:hint="default"/>
      </w:rPr>
    </w:lvl>
    <w:lvl w:ilvl="5" w:tplc="6BE48BDE">
      <w:start w:val="1"/>
      <w:numFmt w:val="bullet"/>
      <w:lvlText w:val=""/>
      <w:lvlJc w:val="left"/>
      <w:pPr>
        <w:ind w:left="4320" w:hanging="360"/>
      </w:pPr>
      <w:rPr>
        <w:rFonts w:ascii="Wingdings" w:hAnsi="Wingdings" w:hint="default"/>
      </w:rPr>
    </w:lvl>
    <w:lvl w:ilvl="6" w:tplc="5C4A0D1E">
      <w:start w:val="1"/>
      <w:numFmt w:val="bullet"/>
      <w:lvlText w:val=""/>
      <w:lvlJc w:val="left"/>
      <w:pPr>
        <w:ind w:left="5040" w:hanging="360"/>
      </w:pPr>
      <w:rPr>
        <w:rFonts w:ascii="Symbol" w:hAnsi="Symbol" w:hint="default"/>
      </w:rPr>
    </w:lvl>
    <w:lvl w:ilvl="7" w:tplc="80828404">
      <w:start w:val="1"/>
      <w:numFmt w:val="bullet"/>
      <w:lvlText w:val="o"/>
      <w:lvlJc w:val="left"/>
      <w:pPr>
        <w:ind w:left="5760" w:hanging="360"/>
      </w:pPr>
      <w:rPr>
        <w:rFonts w:ascii="Courier New" w:hAnsi="Courier New" w:hint="default"/>
      </w:rPr>
    </w:lvl>
    <w:lvl w:ilvl="8" w:tplc="1976299A">
      <w:start w:val="1"/>
      <w:numFmt w:val="bullet"/>
      <w:lvlText w:val=""/>
      <w:lvlJc w:val="left"/>
      <w:pPr>
        <w:ind w:left="6480" w:hanging="360"/>
      </w:pPr>
      <w:rPr>
        <w:rFonts w:ascii="Wingdings" w:hAnsi="Wingdings" w:hint="default"/>
      </w:rPr>
    </w:lvl>
  </w:abstractNum>
  <w:abstractNum w:abstractNumId="34" w15:restartNumberingAfterBreak="0">
    <w:nsid w:val="6AE36658"/>
    <w:multiLevelType w:val="hybridMultilevel"/>
    <w:tmpl w:val="F744A67C"/>
    <w:lvl w:ilvl="0" w:tplc="FFFFFFFF">
      <w:start w:val="1"/>
      <w:numFmt w:val="bullet"/>
      <w:lvlText w:val=""/>
      <w:lvlJc w:val="left"/>
      <w:pPr>
        <w:tabs>
          <w:tab w:val="num" w:pos="340"/>
        </w:tabs>
        <w:ind w:left="340" w:hanging="340"/>
      </w:pPr>
      <w:rPr>
        <w:rFonts w:ascii="Symbol" w:hAnsi="Symbol" w:hint="default"/>
        <w:color w:val="auto"/>
        <w:sz w:val="22"/>
      </w:rPr>
    </w:lvl>
    <w:lvl w:ilvl="1" w:tplc="FFFFFFFF">
      <w:numFmt w:val="decimal"/>
      <w:lvlText w:val=""/>
      <w:lvlJc w:val="left"/>
    </w:lvl>
    <w:lvl w:ilvl="2" w:tplc="FFFFFFFF">
      <w:numFmt w:val="decimal"/>
      <w:lvlText w:val=""/>
      <w:lvlJc w:val="left"/>
    </w:lvl>
    <w:lvl w:ilvl="3" w:tplc="FFFFFFFF">
      <w:start w:val="1"/>
      <w:numFmt w:val="bullet"/>
      <w:lvlText w:val="o"/>
      <w:lvlJc w:val="left"/>
      <w:rPr>
        <w:rFonts w:ascii="Courier New" w:hAnsi="Courier New" w:hint="default"/>
      </w:rPr>
    </w:lvl>
    <w:lvl w:ilvl="4" w:tplc="FFFFFFFF">
      <w:start w:val="1"/>
      <w:numFmt w:val="bullet"/>
      <w:lvlText w:val=""/>
      <w:lvlJc w:val="left"/>
      <w:pPr>
        <w:ind w:left="360" w:hanging="360"/>
      </w:pPr>
      <w:rPr>
        <w:rFonts w:ascii="Symbol" w:hAnsi="Symbol" w:hint="default"/>
      </w:rPr>
    </w:lvl>
    <w:lvl w:ilvl="5" w:tplc="FFFFFFFF">
      <w:numFmt w:val="decimal"/>
      <w:lvlText w:val=""/>
      <w:lvlJc w:val="left"/>
    </w:lvl>
    <w:lvl w:ilvl="6" w:tplc="0C090003">
      <w:start w:val="1"/>
      <w:numFmt w:val="bullet"/>
      <w:lvlText w:val="o"/>
      <w:lvlJc w:val="left"/>
      <w:pPr>
        <w:ind w:left="70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35" w15:restartNumberingAfterBreak="0">
    <w:nsid w:val="6E68511F"/>
    <w:multiLevelType w:val="hybridMultilevel"/>
    <w:tmpl w:val="E5160D4C"/>
    <w:lvl w:ilvl="0" w:tplc="FFFFFFFF">
      <w:start w:val="1"/>
      <w:numFmt w:val="bullet"/>
      <w:lvlText w:val=""/>
      <w:lvlJc w:val="left"/>
      <w:pPr>
        <w:tabs>
          <w:tab w:val="num" w:pos="340"/>
        </w:tabs>
        <w:ind w:left="340" w:hanging="340"/>
      </w:pPr>
      <w:rPr>
        <w:rFonts w:ascii="Symbol" w:hAnsi="Symbol" w:hint="default"/>
        <w:color w:val="auto"/>
        <w:sz w:val="22"/>
      </w:rPr>
    </w:lvl>
    <w:lvl w:ilvl="1" w:tplc="FFFFFFFF">
      <w:numFmt w:val="decimal"/>
      <w:lvlText w:val=""/>
      <w:lvlJc w:val="left"/>
    </w:lvl>
    <w:lvl w:ilvl="2" w:tplc="FFFFFFFF">
      <w:numFmt w:val="decimal"/>
      <w:lvlText w:val=""/>
      <w:lvlJc w:val="left"/>
    </w:lvl>
    <w:lvl w:ilvl="3" w:tplc="FFFFFFFF">
      <w:start w:val="1"/>
      <w:numFmt w:val="bullet"/>
      <w:lvlText w:val="o"/>
      <w:lvlJc w:val="left"/>
      <w:rPr>
        <w:rFonts w:ascii="Courier New" w:hAnsi="Courier New" w:hint="default"/>
      </w:rPr>
    </w:lvl>
    <w:lvl w:ilvl="4" w:tplc="0C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D5550F"/>
    <w:multiLevelType w:val="hybridMultilevel"/>
    <w:tmpl w:val="257426D2"/>
    <w:lvl w:ilvl="0" w:tplc="CA3ABA2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22B3CF8"/>
    <w:multiLevelType w:val="singleLevel"/>
    <w:tmpl w:val="377621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75963CA8"/>
    <w:multiLevelType w:val="singleLevel"/>
    <w:tmpl w:val="2B10896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78384776"/>
    <w:multiLevelType w:val="singleLevel"/>
    <w:tmpl w:val="2BCECC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7CFC16C2"/>
    <w:multiLevelType w:val="hybridMultilevel"/>
    <w:tmpl w:val="74D4469A"/>
    <w:lvl w:ilvl="0" w:tplc="05F4D95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3"/>
  </w:num>
  <w:num w:numId="2">
    <w:abstractNumId w:val="23"/>
  </w:num>
  <w:num w:numId="3">
    <w:abstractNumId w:val="7"/>
  </w:num>
  <w:num w:numId="4">
    <w:abstractNumId w:val="20"/>
  </w:num>
  <w:num w:numId="5">
    <w:abstractNumId w:val="16"/>
  </w:num>
  <w:num w:numId="6">
    <w:abstractNumId w:val="4"/>
  </w:num>
  <w:num w:numId="7">
    <w:abstractNumId w:val="17"/>
  </w:num>
  <w:num w:numId="8">
    <w:abstractNumId w:val="19"/>
  </w:num>
  <w:num w:numId="9">
    <w:abstractNumId w:val="10"/>
  </w:num>
  <w:num w:numId="10">
    <w:abstractNumId w:val="15"/>
  </w:num>
  <w:num w:numId="11">
    <w:abstractNumId w:val="26"/>
  </w:num>
  <w:num w:numId="12">
    <w:abstractNumId w:val="14"/>
  </w:num>
  <w:num w:numId="13">
    <w:abstractNumId w:val="11"/>
  </w:num>
  <w:num w:numId="14">
    <w:abstractNumId w:val="37"/>
  </w:num>
  <w:num w:numId="15">
    <w:abstractNumId w:val="12"/>
  </w:num>
  <w:num w:numId="16">
    <w:abstractNumId w:val="0"/>
  </w:num>
  <w:num w:numId="17">
    <w:abstractNumId w:val="25"/>
  </w:num>
  <w:num w:numId="18">
    <w:abstractNumId w:val="27"/>
  </w:num>
  <w:num w:numId="19">
    <w:abstractNumId w:val="31"/>
  </w:num>
  <w:num w:numId="20">
    <w:abstractNumId w:val="32"/>
  </w:num>
  <w:num w:numId="21">
    <w:abstractNumId w:val="38"/>
  </w:num>
  <w:num w:numId="22">
    <w:abstractNumId w:val="13"/>
  </w:num>
  <w:num w:numId="23">
    <w:abstractNumId w:val="2"/>
  </w:num>
  <w:num w:numId="24">
    <w:abstractNumId w:val="9"/>
  </w:num>
  <w:num w:numId="25">
    <w:abstractNumId w:val="29"/>
  </w:num>
  <w:num w:numId="26">
    <w:abstractNumId w:val="6"/>
  </w:num>
  <w:num w:numId="27">
    <w:abstractNumId w:val="30"/>
  </w:num>
  <w:num w:numId="28">
    <w:abstractNumId w:val="18"/>
  </w:num>
  <w:num w:numId="29">
    <w:abstractNumId w:val="8"/>
  </w:num>
  <w:num w:numId="30">
    <w:abstractNumId w:val="28"/>
  </w:num>
  <w:num w:numId="31">
    <w:abstractNumId w:val="40"/>
  </w:num>
  <w:num w:numId="32">
    <w:abstractNumId w:val="36"/>
  </w:num>
  <w:num w:numId="33">
    <w:abstractNumId w:val="39"/>
  </w:num>
  <w:num w:numId="34">
    <w:abstractNumId w:val="24"/>
  </w:num>
  <w:num w:numId="35">
    <w:abstractNumId w:val="3"/>
  </w:num>
  <w:num w:numId="36">
    <w:abstractNumId w:val="22"/>
  </w:num>
  <w:num w:numId="37">
    <w:abstractNumId w:val="21"/>
  </w:num>
  <w:num w:numId="38">
    <w:abstractNumId w:val="5"/>
  </w:num>
  <w:num w:numId="39">
    <w:abstractNumId w:val="35"/>
  </w:num>
  <w:num w:numId="40">
    <w:abstractNumId w:val="1"/>
  </w:num>
  <w:num w:numId="41">
    <w:abstractNumId w:val="3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86"/>
    <w:rsid w:val="00000555"/>
    <w:rsid w:val="000007D2"/>
    <w:rsid w:val="0000146E"/>
    <w:rsid w:val="000020D8"/>
    <w:rsid w:val="00002F78"/>
    <w:rsid w:val="000035AF"/>
    <w:rsid w:val="00003959"/>
    <w:rsid w:val="00003FCD"/>
    <w:rsid w:val="00004130"/>
    <w:rsid w:val="0000471F"/>
    <w:rsid w:val="000065BA"/>
    <w:rsid w:val="000065FE"/>
    <w:rsid w:val="000067A1"/>
    <w:rsid w:val="00006A5F"/>
    <w:rsid w:val="0001056C"/>
    <w:rsid w:val="00013A84"/>
    <w:rsid w:val="0001513E"/>
    <w:rsid w:val="00015732"/>
    <w:rsid w:val="00015DC5"/>
    <w:rsid w:val="000168DE"/>
    <w:rsid w:val="00016BF3"/>
    <w:rsid w:val="000177FD"/>
    <w:rsid w:val="00017A55"/>
    <w:rsid w:val="00017B71"/>
    <w:rsid w:val="00020A6B"/>
    <w:rsid w:val="00020FEC"/>
    <w:rsid w:val="0002106D"/>
    <w:rsid w:val="000211DE"/>
    <w:rsid w:val="000213A4"/>
    <w:rsid w:val="00021743"/>
    <w:rsid w:val="00021F39"/>
    <w:rsid w:val="0002370D"/>
    <w:rsid w:val="00024AB1"/>
    <w:rsid w:val="00024C76"/>
    <w:rsid w:val="000251F7"/>
    <w:rsid w:val="0002599F"/>
    <w:rsid w:val="000263E1"/>
    <w:rsid w:val="0002784A"/>
    <w:rsid w:val="00027B9F"/>
    <w:rsid w:val="00027F68"/>
    <w:rsid w:val="0002F5D2"/>
    <w:rsid w:val="00030693"/>
    <w:rsid w:val="00030761"/>
    <w:rsid w:val="00030F87"/>
    <w:rsid w:val="00032BD3"/>
    <w:rsid w:val="00033C67"/>
    <w:rsid w:val="00033E75"/>
    <w:rsid w:val="00036DBD"/>
    <w:rsid w:val="000372C6"/>
    <w:rsid w:val="00037FB3"/>
    <w:rsid w:val="000408F6"/>
    <w:rsid w:val="00040B63"/>
    <w:rsid w:val="00043E31"/>
    <w:rsid w:val="00044A74"/>
    <w:rsid w:val="000451A8"/>
    <w:rsid w:val="00045288"/>
    <w:rsid w:val="000458D4"/>
    <w:rsid w:val="000461A0"/>
    <w:rsid w:val="00047940"/>
    <w:rsid w:val="00047A6B"/>
    <w:rsid w:val="00047B2E"/>
    <w:rsid w:val="00047FB0"/>
    <w:rsid w:val="00050DD6"/>
    <w:rsid w:val="00051644"/>
    <w:rsid w:val="00051792"/>
    <w:rsid w:val="00051C5D"/>
    <w:rsid w:val="00051C9E"/>
    <w:rsid w:val="00052B42"/>
    <w:rsid w:val="0005336A"/>
    <w:rsid w:val="00053753"/>
    <w:rsid w:val="00054A11"/>
    <w:rsid w:val="00055BDD"/>
    <w:rsid w:val="00056005"/>
    <w:rsid w:val="000562F2"/>
    <w:rsid w:val="00056847"/>
    <w:rsid w:val="0006006C"/>
    <w:rsid w:val="00060E8A"/>
    <w:rsid w:val="00061287"/>
    <w:rsid w:val="00063270"/>
    <w:rsid w:val="000639D7"/>
    <w:rsid w:val="0006494D"/>
    <w:rsid w:val="00064BDF"/>
    <w:rsid w:val="00065519"/>
    <w:rsid w:val="0006563A"/>
    <w:rsid w:val="00065882"/>
    <w:rsid w:val="00065895"/>
    <w:rsid w:val="00065AA6"/>
    <w:rsid w:val="00066453"/>
    <w:rsid w:val="0007067E"/>
    <w:rsid w:val="00070743"/>
    <w:rsid w:val="00071A37"/>
    <w:rsid w:val="00072852"/>
    <w:rsid w:val="00072A0D"/>
    <w:rsid w:val="00072B35"/>
    <w:rsid w:val="00072F44"/>
    <w:rsid w:val="00072F52"/>
    <w:rsid w:val="00073068"/>
    <w:rsid w:val="0007364D"/>
    <w:rsid w:val="00074808"/>
    <w:rsid w:val="00074ED4"/>
    <w:rsid w:val="00075471"/>
    <w:rsid w:val="000760BF"/>
    <w:rsid w:val="00076EB3"/>
    <w:rsid w:val="000774D8"/>
    <w:rsid w:val="0007788B"/>
    <w:rsid w:val="0007B8A3"/>
    <w:rsid w:val="00080571"/>
    <w:rsid w:val="00081A8A"/>
    <w:rsid w:val="00082293"/>
    <w:rsid w:val="00082C6D"/>
    <w:rsid w:val="00082D50"/>
    <w:rsid w:val="00083BA1"/>
    <w:rsid w:val="00085C5E"/>
    <w:rsid w:val="00086C8E"/>
    <w:rsid w:val="00087B9B"/>
    <w:rsid w:val="00087FCF"/>
    <w:rsid w:val="00090F98"/>
    <w:rsid w:val="00091A27"/>
    <w:rsid w:val="00091A2C"/>
    <w:rsid w:val="000925D3"/>
    <w:rsid w:val="000928EA"/>
    <w:rsid w:val="00092990"/>
    <w:rsid w:val="00093A90"/>
    <w:rsid w:val="000944C1"/>
    <w:rsid w:val="0009515A"/>
    <w:rsid w:val="00095732"/>
    <w:rsid w:val="00095A63"/>
    <w:rsid w:val="00095BE2"/>
    <w:rsid w:val="000962E3"/>
    <w:rsid w:val="00096959"/>
    <w:rsid w:val="00096E3C"/>
    <w:rsid w:val="00096E81"/>
    <w:rsid w:val="000A320C"/>
    <w:rsid w:val="000A5165"/>
    <w:rsid w:val="000A5ABC"/>
    <w:rsid w:val="000A627E"/>
    <w:rsid w:val="000A63F4"/>
    <w:rsid w:val="000A695E"/>
    <w:rsid w:val="000A6FBE"/>
    <w:rsid w:val="000A79D8"/>
    <w:rsid w:val="000B0F9A"/>
    <w:rsid w:val="000B1451"/>
    <w:rsid w:val="000B162E"/>
    <w:rsid w:val="000B16E2"/>
    <w:rsid w:val="000B19DD"/>
    <w:rsid w:val="000B280A"/>
    <w:rsid w:val="000B323A"/>
    <w:rsid w:val="000B34FD"/>
    <w:rsid w:val="000B3526"/>
    <w:rsid w:val="000B3896"/>
    <w:rsid w:val="000B3AFF"/>
    <w:rsid w:val="000B4532"/>
    <w:rsid w:val="000B6425"/>
    <w:rsid w:val="000B6680"/>
    <w:rsid w:val="000B6C72"/>
    <w:rsid w:val="000B7794"/>
    <w:rsid w:val="000C0B3B"/>
    <w:rsid w:val="000C12B2"/>
    <w:rsid w:val="000C1410"/>
    <w:rsid w:val="000C1CAC"/>
    <w:rsid w:val="000C1F71"/>
    <w:rsid w:val="000C22A1"/>
    <w:rsid w:val="000C237A"/>
    <w:rsid w:val="000C2A87"/>
    <w:rsid w:val="000C30C3"/>
    <w:rsid w:val="000C323D"/>
    <w:rsid w:val="000C3F5C"/>
    <w:rsid w:val="000C505F"/>
    <w:rsid w:val="000C58AA"/>
    <w:rsid w:val="000C5C80"/>
    <w:rsid w:val="000C60D5"/>
    <w:rsid w:val="000C72D9"/>
    <w:rsid w:val="000C75E1"/>
    <w:rsid w:val="000C7987"/>
    <w:rsid w:val="000C7EDB"/>
    <w:rsid w:val="000C7F0E"/>
    <w:rsid w:val="000D36C1"/>
    <w:rsid w:val="000D3F4E"/>
    <w:rsid w:val="000D436D"/>
    <w:rsid w:val="000D4FEF"/>
    <w:rsid w:val="000D5CB1"/>
    <w:rsid w:val="000D6E77"/>
    <w:rsid w:val="000D78E9"/>
    <w:rsid w:val="000D7E63"/>
    <w:rsid w:val="000E1C93"/>
    <w:rsid w:val="000E1D1F"/>
    <w:rsid w:val="000E316D"/>
    <w:rsid w:val="000E3DE4"/>
    <w:rsid w:val="000E3E20"/>
    <w:rsid w:val="000E4858"/>
    <w:rsid w:val="000E4968"/>
    <w:rsid w:val="000E6066"/>
    <w:rsid w:val="000E60FC"/>
    <w:rsid w:val="000E671B"/>
    <w:rsid w:val="000E772F"/>
    <w:rsid w:val="000F019D"/>
    <w:rsid w:val="000F0A23"/>
    <w:rsid w:val="000F0A2D"/>
    <w:rsid w:val="000F0C57"/>
    <w:rsid w:val="000F1696"/>
    <w:rsid w:val="000F17A9"/>
    <w:rsid w:val="000F1D23"/>
    <w:rsid w:val="000F2283"/>
    <w:rsid w:val="000F2629"/>
    <w:rsid w:val="000F2AE8"/>
    <w:rsid w:val="000F3880"/>
    <w:rsid w:val="000F424E"/>
    <w:rsid w:val="000F4270"/>
    <w:rsid w:val="000F45EE"/>
    <w:rsid w:val="000F4B72"/>
    <w:rsid w:val="000F5329"/>
    <w:rsid w:val="000F5C20"/>
    <w:rsid w:val="000F64C9"/>
    <w:rsid w:val="000F6F1A"/>
    <w:rsid w:val="000F7AD5"/>
    <w:rsid w:val="0010104D"/>
    <w:rsid w:val="0010104F"/>
    <w:rsid w:val="001015D5"/>
    <w:rsid w:val="001030B1"/>
    <w:rsid w:val="001038A2"/>
    <w:rsid w:val="00104A96"/>
    <w:rsid w:val="00104BBB"/>
    <w:rsid w:val="00105704"/>
    <w:rsid w:val="00105918"/>
    <w:rsid w:val="00105BC2"/>
    <w:rsid w:val="00106C6A"/>
    <w:rsid w:val="00107293"/>
    <w:rsid w:val="00107560"/>
    <w:rsid w:val="00107786"/>
    <w:rsid w:val="00107CAB"/>
    <w:rsid w:val="001100CE"/>
    <w:rsid w:val="00110793"/>
    <w:rsid w:val="001108CB"/>
    <w:rsid w:val="001115D8"/>
    <w:rsid w:val="00111E1A"/>
    <w:rsid w:val="00112D4F"/>
    <w:rsid w:val="00112FA4"/>
    <w:rsid w:val="00113328"/>
    <w:rsid w:val="001136EA"/>
    <w:rsid w:val="00113EFA"/>
    <w:rsid w:val="00114494"/>
    <w:rsid w:val="00114BB2"/>
    <w:rsid w:val="00115490"/>
    <w:rsid w:val="001157CD"/>
    <w:rsid w:val="00116C9E"/>
    <w:rsid w:val="00116D7B"/>
    <w:rsid w:val="001170CF"/>
    <w:rsid w:val="001172C5"/>
    <w:rsid w:val="001173DD"/>
    <w:rsid w:val="00117B72"/>
    <w:rsid w:val="00120114"/>
    <w:rsid w:val="00120442"/>
    <w:rsid w:val="00120D6B"/>
    <w:rsid w:val="001214BF"/>
    <w:rsid w:val="00121A65"/>
    <w:rsid w:val="00122903"/>
    <w:rsid w:val="00122996"/>
    <w:rsid w:val="00122B0D"/>
    <w:rsid w:val="00123B24"/>
    <w:rsid w:val="00124F4A"/>
    <w:rsid w:val="00125574"/>
    <w:rsid w:val="001256F5"/>
    <w:rsid w:val="001266A0"/>
    <w:rsid w:val="0012748D"/>
    <w:rsid w:val="00127C7A"/>
    <w:rsid w:val="00130D96"/>
    <w:rsid w:val="00131767"/>
    <w:rsid w:val="00131BDB"/>
    <w:rsid w:val="00131E59"/>
    <w:rsid w:val="00132499"/>
    <w:rsid w:val="00134569"/>
    <w:rsid w:val="0013477D"/>
    <w:rsid w:val="00134BE5"/>
    <w:rsid w:val="00134DDF"/>
    <w:rsid w:val="00135049"/>
    <w:rsid w:val="001355CB"/>
    <w:rsid w:val="00136383"/>
    <w:rsid w:val="00136A5F"/>
    <w:rsid w:val="00136BC1"/>
    <w:rsid w:val="00137332"/>
    <w:rsid w:val="0013782C"/>
    <w:rsid w:val="00137D9E"/>
    <w:rsid w:val="001402F2"/>
    <w:rsid w:val="00140B85"/>
    <w:rsid w:val="0014141B"/>
    <w:rsid w:val="00141A34"/>
    <w:rsid w:val="00141B21"/>
    <w:rsid w:val="00142511"/>
    <w:rsid w:val="001425F2"/>
    <w:rsid w:val="00143291"/>
    <w:rsid w:val="0014444A"/>
    <w:rsid w:val="0014557D"/>
    <w:rsid w:val="0014597B"/>
    <w:rsid w:val="00145BED"/>
    <w:rsid w:val="00145EF0"/>
    <w:rsid w:val="00146BB5"/>
    <w:rsid w:val="00150012"/>
    <w:rsid w:val="00150177"/>
    <w:rsid w:val="001501D7"/>
    <w:rsid w:val="00151311"/>
    <w:rsid w:val="00151BAD"/>
    <w:rsid w:val="00151BBF"/>
    <w:rsid w:val="00151D05"/>
    <w:rsid w:val="0015237D"/>
    <w:rsid w:val="001528D1"/>
    <w:rsid w:val="00153009"/>
    <w:rsid w:val="0015318B"/>
    <w:rsid w:val="001531C7"/>
    <w:rsid w:val="00153958"/>
    <w:rsid w:val="00153AB4"/>
    <w:rsid w:val="00153C22"/>
    <w:rsid w:val="00154554"/>
    <w:rsid w:val="00154C28"/>
    <w:rsid w:val="001552C2"/>
    <w:rsid w:val="00155C0B"/>
    <w:rsid w:val="00156707"/>
    <w:rsid w:val="001568A9"/>
    <w:rsid w:val="00156C2D"/>
    <w:rsid w:val="001578F4"/>
    <w:rsid w:val="0016208D"/>
    <w:rsid w:val="00162579"/>
    <w:rsid w:val="001632E7"/>
    <w:rsid w:val="00163A06"/>
    <w:rsid w:val="00163B81"/>
    <w:rsid w:val="00165573"/>
    <w:rsid w:val="00165853"/>
    <w:rsid w:val="00165BE2"/>
    <w:rsid w:val="0016739D"/>
    <w:rsid w:val="00167574"/>
    <w:rsid w:val="00170C66"/>
    <w:rsid w:val="00170C6E"/>
    <w:rsid w:val="00171503"/>
    <w:rsid w:val="0017168F"/>
    <w:rsid w:val="00171741"/>
    <w:rsid w:val="00171758"/>
    <w:rsid w:val="001722A2"/>
    <w:rsid w:val="00174E25"/>
    <w:rsid w:val="00174ED0"/>
    <w:rsid w:val="00176C85"/>
    <w:rsid w:val="00176FAB"/>
    <w:rsid w:val="00177189"/>
    <w:rsid w:val="00177E46"/>
    <w:rsid w:val="001802F3"/>
    <w:rsid w:val="00180D03"/>
    <w:rsid w:val="0018266F"/>
    <w:rsid w:val="00182C7C"/>
    <w:rsid w:val="001837D7"/>
    <w:rsid w:val="00183866"/>
    <w:rsid w:val="001839B2"/>
    <w:rsid w:val="0018411B"/>
    <w:rsid w:val="001844BC"/>
    <w:rsid w:val="00184AB6"/>
    <w:rsid w:val="00185739"/>
    <w:rsid w:val="001861BD"/>
    <w:rsid w:val="0018694C"/>
    <w:rsid w:val="00186FA4"/>
    <w:rsid w:val="00187414"/>
    <w:rsid w:val="00187915"/>
    <w:rsid w:val="001879B9"/>
    <w:rsid w:val="00187E73"/>
    <w:rsid w:val="001903D9"/>
    <w:rsid w:val="00190A21"/>
    <w:rsid w:val="00191B95"/>
    <w:rsid w:val="0019310C"/>
    <w:rsid w:val="00193EB2"/>
    <w:rsid w:val="0019504E"/>
    <w:rsid w:val="001951B7"/>
    <w:rsid w:val="001951F8"/>
    <w:rsid w:val="001952A0"/>
    <w:rsid w:val="001954DB"/>
    <w:rsid w:val="00195EA6"/>
    <w:rsid w:val="0019789C"/>
    <w:rsid w:val="00197CA4"/>
    <w:rsid w:val="001A009E"/>
    <w:rsid w:val="001A030E"/>
    <w:rsid w:val="001A0D32"/>
    <w:rsid w:val="001A0F93"/>
    <w:rsid w:val="001A1406"/>
    <w:rsid w:val="001A162D"/>
    <w:rsid w:val="001A1BBF"/>
    <w:rsid w:val="001A23DB"/>
    <w:rsid w:val="001A273F"/>
    <w:rsid w:val="001A3145"/>
    <w:rsid w:val="001A3712"/>
    <w:rsid w:val="001A3C5A"/>
    <w:rsid w:val="001A3F5A"/>
    <w:rsid w:val="001A554D"/>
    <w:rsid w:val="001A5D00"/>
    <w:rsid w:val="001A7709"/>
    <w:rsid w:val="001B183A"/>
    <w:rsid w:val="001B1C14"/>
    <w:rsid w:val="001B20C8"/>
    <w:rsid w:val="001B21D4"/>
    <w:rsid w:val="001B34DD"/>
    <w:rsid w:val="001B5758"/>
    <w:rsid w:val="001B606A"/>
    <w:rsid w:val="001B6E91"/>
    <w:rsid w:val="001B7057"/>
    <w:rsid w:val="001B7A1A"/>
    <w:rsid w:val="001C01BD"/>
    <w:rsid w:val="001C039E"/>
    <w:rsid w:val="001C0F1D"/>
    <w:rsid w:val="001C1C0E"/>
    <w:rsid w:val="001C2731"/>
    <w:rsid w:val="001C3700"/>
    <w:rsid w:val="001C3E8F"/>
    <w:rsid w:val="001C549C"/>
    <w:rsid w:val="001C58A4"/>
    <w:rsid w:val="001C6A9B"/>
    <w:rsid w:val="001C6B60"/>
    <w:rsid w:val="001C72C3"/>
    <w:rsid w:val="001C72E6"/>
    <w:rsid w:val="001C7A94"/>
    <w:rsid w:val="001D0202"/>
    <w:rsid w:val="001D03D1"/>
    <w:rsid w:val="001D0B0B"/>
    <w:rsid w:val="001D0BD1"/>
    <w:rsid w:val="001D11E9"/>
    <w:rsid w:val="001D2B79"/>
    <w:rsid w:val="001D2E84"/>
    <w:rsid w:val="001D3E7C"/>
    <w:rsid w:val="001D3FE2"/>
    <w:rsid w:val="001D5F9C"/>
    <w:rsid w:val="001D6774"/>
    <w:rsid w:val="001D7E4F"/>
    <w:rsid w:val="001E03F8"/>
    <w:rsid w:val="001E0441"/>
    <w:rsid w:val="001E0742"/>
    <w:rsid w:val="001E0C54"/>
    <w:rsid w:val="001E0CE2"/>
    <w:rsid w:val="001E141A"/>
    <w:rsid w:val="001E18DB"/>
    <w:rsid w:val="001E1B8D"/>
    <w:rsid w:val="001E20D3"/>
    <w:rsid w:val="001E2115"/>
    <w:rsid w:val="001E21BF"/>
    <w:rsid w:val="001E29C4"/>
    <w:rsid w:val="001E3660"/>
    <w:rsid w:val="001E4E08"/>
    <w:rsid w:val="001E5211"/>
    <w:rsid w:val="001E5357"/>
    <w:rsid w:val="001E67D5"/>
    <w:rsid w:val="001E6B20"/>
    <w:rsid w:val="001F00EB"/>
    <w:rsid w:val="001F051F"/>
    <w:rsid w:val="001F0E26"/>
    <w:rsid w:val="001F2C21"/>
    <w:rsid w:val="001F6038"/>
    <w:rsid w:val="001F66AD"/>
    <w:rsid w:val="001F6F74"/>
    <w:rsid w:val="0020061C"/>
    <w:rsid w:val="002009C6"/>
    <w:rsid w:val="002009D0"/>
    <w:rsid w:val="00200A06"/>
    <w:rsid w:val="00201504"/>
    <w:rsid w:val="00201F6C"/>
    <w:rsid w:val="0020209D"/>
    <w:rsid w:val="00203395"/>
    <w:rsid w:val="00203B54"/>
    <w:rsid w:val="00204684"/>
    <w:rsid w:val="0020492E"/>
    <w:rsid w:val="002052AB"/>
    <w:rsid w:val="00207242"/>
    <w:rsid w:val="00207648"/>
    <w:rsid w:val="00207FE9"/>
    <w:rsid w:val="00211AA0"/>
    <w:rsid w:val="002123A6"/>
    <w:rsid w:val="00212C35"/>
    <w:rsid w:val="00212C57"/>
    <w:rsid w:val="00212D93"/>
    <w:rsid w:val="00212DBC"/>
    <w:rsid w:val="002136C4"/>
    <w:rsid w:val="00213FCB"/>
    <w:rsid w:val="002149B7"/>
    <w:rsid w:val="0021581F"/>
    <w:rsid w:val="00216B02"/>
    <w:rsid w:val="00217A6F"/>
    <w:rsid w:val="00217B07"/>
    <w:rsid w:val="00217F6B"/>
    <w:rsid w:val="00220B6A"/>
    <w:rsid w:val="00220C85"/>
    <w:rsid w:val="00221070"/>
    <w:rsid w:val="00221298"/>
    <w:rsid w:val="002219C4"/>
    <w:rsid w:val="00221AC4"/>
    <w:rsid w:val="00222530"/>
    <w:rsid w:val="00223509"/>
    <w:rsid w:val="00224440"/>
    <w:rsid w:val="00224490"/>
    <w:rsid w:val="0022562E"/>
    <w:rsid w:val="0022639D"/>
    <w:rsid w:val="00226AEF"/>
    <w:rsid w:val="00227934"/>
    <w:rsid w:val="002302C9"/>
    <w:rsid w:val="002313A8"/>
    <w:rsid w:val="00231598"/>
    <w:rsid w:val="0023227E"/>
    <w:rsid w:val="0023269D"/>
    <w:rsid w:val="00233D15"/>
    <w:rsid w:val="00234126"/>
    <w:rsid w:val="002343C6"/>
    <w:rsid w:val="0023583F"/>
    <w:rsid w:val="0023624F"/>
    <w:rsid w:val="00236611"/>
    <w:rsid w:val="00236B8A"/>
    <w:rsid w:val="00236DBD"/>
    <w:rsid w:val="00237C1A"/>
    <w:rsid w:val="00241014"/>
    <w:rsid w:val="0024129C"/>
    <w:rsid w:val="002414D9"/>
    <w:rsid w:val="002419F2"/>
    <w:rsid w:val="00241E25"/>
    <w:rsid w:val="00241F87"/>
    <w:rsid w:val="00242239"/>
    <w:rsid w:val="00242251"/>
    <w:rsid w:val="0024236B"/>
    <w:rsid w:val="00242D66"/>
    <w:rsid w:val="00242F5E"/>
    <w:rsid w:val="002448B5"/>
    <w:rsid w:val="00244900"/>
    <w:rsid w:val="002454F0"/>
    <w:rsid w:val="0024599D"/>
    <w:rsid w:val="0024602B"/>
    <w:rsid w:val="002464C8"/>
    <w:rsid w:val="00246689"/>
    <w:rsid w:val="00246E42"/>
    <w:rsid w:val="00247F73"/>
    <w:rsid w:val="0025039B"/>
    <w:rsid w:val="00250411"/>
    <w:rsid w:val="00250B00"/>
    <w:rsid w:val="0025184A"/>
    <w:rsid w:val="00251945"/>
    <w:rsid w:val="00251C4B"/>
    <w:rsid w:val="00252112"/>
    <w:rsid w:val="002521A0"/>
    <w:rsid w:val="002529AA"/>
    <w:rsid w:val="0025334F"/>
    <w:rsid w:val="00253660"/>
    <w:rsid w:val="00253981"/>
    <w:rsid w:val="00253D83"/>
    <w:rsid w:val="00254D89"/>
    <w:rsid w:val="00255E67"/>
    <w:rsid w:val="00256082"/>
    <w:rsid w:val="00256440"/>
    <w:rsid w:val="002564A8"/>
    <w:rsid w:val="002602ED"/>
    <w:rsid w:val="002614F9"/>
    <w:rsid w:val="00262AEF"/>
    <w:rsid w:val="00262D5D"/>
    <w:rsid w:val="002636A2"/>
    <w:rsid w:val="00263BA8"/>
    <w:rsid w:val="0026445A"/>
    <w:rsid w:val="00264F3F"/>
    <w:rsid w:val="0026653E"/>
    <w:rsid w:val="002672F7"/>
    <w:rsid w:val="00270B54"/>
    <w:rsid w:val="002715C9"/>
    <w:rsid w:val="00271766"/>
    <w:rsid w:val="0027251A"/>
    <w:rsid w:val="00273947"/>
    <w:rsid w:val="0027405C"/>
    <w:rsid w:val="002745A0"/>
    <w:rsid w:val="002745DF"/>
    <w:rsid w:val="00274D34"/>
    <w:rsid w:val="00274F50"/>
    <w:rsid w:val="00275199"/>
    <w:rsid w:val="0027520B"/>
    <w:rsid w:val="002768CF"/>
    <w:rsid w:val="00277074"/>
    <w:rsid w:val="0028025C"/>
    <w:rsid w:val="00280374"/>
    <w:rsid w:val="002803F4"/>
    <w:rsid w:val="002809AD"/>
    <w:rsid w:val="00280DB8"/>
    <w:rsid w:val="00280DCD"/>
    <w:rsid w:val="002812EE"/>
    <w:rsid w:val="0028141E"/>
    <w:rsid w:val="00281B45"/>
    <w:rsid w:val="00282EB0"/>
    <w:rsid w:val="0028352F"/>
    <w:rsid w:val="002836A7"/>
    <w:rsid w:val="00284BDF"/>
    <w:rsid w:val="002858A2"/>
    <w:rsid w:val="002858EE"/>
    <w:rsid w:val="0028624B"/>
    <w:rsid w:val="002865BA"/>
    <w:rsid w:val="00292070"/>
    <w:rsid w:val="00293E24"/>
    <w:rsid w:val="00294EB3"/>
    <w:rsid w:val="00295005"/>
    <w:rsid w:val="0029527E"/>
    <w:rsid w:val="002954CC"/>
    <w:rsid w:val="002976F1"/>
    <w:rsid w:val="00297BA9"/>
    <w:rsid w:val="00297CBC"/>
    <w:rsid w:val="002A08AD"/>
    <w:rsid w:val="002A0909"/>
    <w:rsid w:val="002A2334"/>
    <w:rsid w:val="002A4999"/>
    <w:rsid w:val="002A51D8"/>
    <w:rsid w:val="002A6C32"/>
    <w:rsid w:val="002A6DBE"/>
    <w:rsid w:val="002A6EAE"/>
    <w:rsid w:val="002B03C5"/>
    <w:rsid w:val="002B05FC"/>
    <w:rsid w:val="002B0D9F"/>
    <w:rsid w:val="002B2158"/>
    <w:rsid w:val="002B22E9"/>
    <w:rsid w:val="002B2CB5"/>
    <w:rsid w:val="002B356D"/>
    <w:rsid w:val="002B3976"/>
    <w:rsid w:val="002B3A2D"/>
    <w:rsid w:val="002B4802"/>
    <w:rsid w:val="002B5E0C"/>
    <w:rsid w:val="002B64A9"/>
    <w:rsid w:val="002B6859"/>
    <w:rsid w:val="002B6A94"/>
    <w:rsid w:val="002B6E3B"/>
    <w:rsid w:val="002B7428"/>
    <w:rsid w:val="002B7550"/>
    <w:rsid w:val="002B786D"/>
    <w:rsid w:val="002C05DC"/>
    <w:rsid w:val="002C18D5"/>
    <w:rsid w:val="002C1CDF"/>
    <w:rsid w:val="002C29A7"/>
    <w:rsid w:val="002C3223"/>
    <w:rsid w:val="002C3A9E"/>
    <w:rsid w:val="002C3C36"/>
    <w:rsid w:val="002C4D2A"/>
    <w:rsid w:val="002C4DAA"/>
    <w:rsid w:val="002C7688"/>
    <w:rsid w:val="002C76E1"/>
    <w:rsid w:val="002C77DB"/>
    <w:rsid w:val="002D01C7"/>
    <w:rsid w:val="002D1837"/>
    <w:rsid w:val="002D1CC4"/>
    <w:rsid w:val="002D26C1"/>
    <w:rsid w:val="002D2F27"/>
    <w:rsid w:val="002D32EC"/>
    <w:rsid w:val="002D369F"/>
    <w:rsid w:val="002D3887"/>
    <w:rsid w:val="002D490B"/>
    <w:rsid w:val="002D490C"/>
    <w:rsid w:val="002D6146"/>
    <w:rsid w:val="002D626A"/>
    <w:rsid w:val="002D6A25"/>
    <w:rsid w:val="002D76D8"/>
    <w:rsid w:val="002D7812"/>
    <w:rsid w:val="002D78C2"/>
    <w:rsid w:val="002D7A61"/>
    <w:rsid w:val="002D7DE1"/>
    <w:rsid w:val="002E0B21"/>
    <w:rsid w:val="002E144F"/>
    <w:rsid w:val="002E1582"/>
    <w:rsid w:val="002E3454"/>
    <w:rsid w:val="002E5036"/>
    <w:rsid w:val="002E6207"/>
    <w:rsid w:val="002E632E"/>
    <w:rsid w:val="002E686E"/>
    <w:rsid w:val="002E6E4A"/>
    <w:rsid w:val="002F0716"/>
    <w:rsid w:val="002F0C43"/>
    <w:rsid w:val="002F1A69"/>
    <w:rsid w:val="002F1A78"/>
    <w:rsid w:val="002F1AD2"/>
    <w:rsid w:val="002F215C"/>
    <w:rsid w:val="002F292A"/>
    <w:rsid w:val="002F4123"/>
    <w:rsid w:val="002F4217"/>
    <w:rsid w:val="002F46A5"/>
    <w:rsid w:val="002F4776"/>
    <w:rsid w:val="002F5042"/>
    <w:rsid w:val="002F5169"/>
    <w:rsid w:val="002F5AF4"/>
    <w:rsid w:val="002F5D7E"/>
    <w:rsid w:val="002F5EF7"/>
    <w:rsid w:val="002F5F28"/>
    <w:rsid w:val="002F759A"/>
    <w:rsid w:val="002F7A9A"/>
    <w:rsid w:val="002F7C73"/>
    <w:rsid w:val="00300D32"/>
    <w:rsid w:val="00301063"/>
    <w:rsid w:val="00301F3B"/>
    <w:rsid w:val="00302A80"/>
    <w:rsid w:val="00302FB4"/>
    <w:rsid w:val="003030EA"/>
    <w:rsid w:val="0030337C"/>
    <w:rsid w:val="00303FA0"/>
    <w:rsid w:val="0030437E"/>
    <w:rsid w:val="00304854"/>
    <w:rsid w:val="00306021"/>
    <w:rsid w:val="00306090"/>
    <w:rsid w:val="0030720A"/>
    <w:rsid w:val="003076C9"/>
    <w:rsid w:val="00307A34"/>
    <w:rsid w:val="00307E2D"/>
    <w:rsid w:val="003107C9"/>
    <w:rsid w:val="00310AD4"/>
    <w:rsid w:val="00310F0E"/>
    <w:rsid w:val="00312F93"/>
    <w:rsid w:val="003134CF"/>
    <w:rsid w:val="00313C09"/>
    <w:rsid w:val="00313CB9"/>
    <w:rsid w:val="0031471B"/>
    <w:rsid w:val="00314C38"/>
    <w:rsid w:val="00314D28"/>
    <w:rsid w:val="00314FE9"/>
    <w:rsid w:val="003152D3"/>
    <w:rsid w:val="00315705"/>
    <w:rsid w:val="00315BB0"/>
    <w:rsid w:val="003168BB"/>
    <w:rsid w:val="0031695F"/>
    <w:rsid w:val="003205FF"/>
    <w:rsid w:val="003206E1"/>
    <w:rsid w:val="00320BE9"/>
    <w:rsid w:val="0032112E"/>
    <w:rsid w:val="003212E0"/>
    <w:rsid w:val="00321744"/>
    <w:rsid w:val="00322DF9"/>
    <w:rsid w:val="0032329B"/>
    <w:rsid w:val="00324049"/>
    <w:rsid w:val="0032519D"/>
    <w:rsid w:val="00325327"/>
    <w:rsid w:val="003257EC"/>
    <w:rsid w:val="003258E8"/>
    <w:rsid w:val="00325CFA"/>
    <w:rsid w:val="00325E82"/>
    <w:rsid w:val="003264E7"/>
    <w:rsid w:val="0032752D"/>
    <w:rsid w:val="003279E3"/>
    <w:rsid w:val="003301BE"/>
    <w:rsid w:val="0033039D"/>
    <w:rsid w:val="003306EA"/>
    <w:rsid w:val="00330F34"/>
    <w:rsid w:val="00331C21"/>
    <w:rsid w:val="0033270C"/>
    <w:rsid w:val="00332849"/>
    <w:rsid w:val="00332F1D"/>
    <w:rsid w:val="00333594"/>
    <w:rsid w:val="00333ADF"/>
    <w:rsid w:val="00333C40"/>
    <w:rsid w:val="00333DB7"/>
    <w:rsid w:val="00333E2E"/>
    <w:rsid w:val="0033450D"/>
    <w:rsid w:val="003348D7"/>
    <w:rsid w:val="00334DB2"/>
    <w:rsid w:val="00335238"/>
    <w:rsid w:val="00336664"/>
    <w:rsid w:val="003369FF"/>
    <w:rsid w:val="00336B67"/>
    <w:rsid w:val="00337BAA"/>
    <w:rsid w:val="003403A4"/>
    <w:rsid w:val="00340D8C"/>
    <w:rsid w:val="00341D0E"/>
    <w:rsid w:val="00341D5B"/>
    <w:rsid w:val="003427DB"/>
    <w:rsid w:val="00343964"/>
    <w:rsid w:val="00343DFA"/>
    <w:rsid w:val="00343F6F"/>
    <w:rsid w:val="00344A0F"/>
    <w:rsid w:val="003461F1"/>
    <w:rsid w:val="00347727"/>
    <w:rsid w:val="00350940"/>
    <w:rsid w:val="00351643"/>
    <w:rsid w:val="00351F87"/>
    <w:rsid w:val="003526DD"/>
    <w:rsid w:val="0035334E"/>
    <w:rsid w:val="00354313"/>
    <w:rsid w:val="003557F3"/>
    <w:rsid w:val="00356543"/>
    <w:rsid w:val="00356CF8"/>
    <w:rsid w:val="00356DBA"/>
    <w:rsid w:val="00360D90"/>
    <w:rsid w:val="00361233"/>
    <w:rsid w:val="00361350"/>
    <w:rsid w:val="00361AD6"/>
    <w:rsid w:val="00361F3F"/>
    <w:rsid w:val="00362473"/>
    <w:rsid w:val="00362AF2"/>
    <w:rsid w:val="00364334"/>
    <w:rsid w:val="00365663"/>
    <w:rsid w:val="003657D8"/>
    <w:rsid w:val="00365BB0"/>
    <w:rsid w:val="00366E06"/>
    <w:rsid w:val="003672B0"/>
    <w:rsid w:val="00367B47"/>
    <w:rsid w:val="00370252"/>
    <w:rsid w:val="0037062D"/>
    <w:rsid w:val="00370D62"/>
    <w:rsid w:val="003715DD"/>
    <w:rsid w:val="0037229A"/>
    <w:rsid w:val="00372782"/>
    <w:rsid w:val="00372B8C"/>
    <w:rsid w:val="003737CB"/>
    <w:rsid w:val="00373977"/>
    <w:rsid w:val="0037419F"/>
    <w:rsid w:val="00374924"/>
    <w:rsid w:val="0037537F"/>
    <w:rsid w:val="00376B55"/>
    <w:rsid w:val="00377028"/>
    <w:rsid w:val="00377760"/>
    <w:rsid w:val="00377879"/>
    <w:rsid w:val="003779B5"/>
    <w:rsid w:val="00381DF1"/>
    <w:rsid w:val="003829EA"/>
    <w:rsid w:val="00382BE2"/>
    <w:rsid w:val="0038326B"/>
    <w:rsid w:val="00384008"/>
    <w:rsid w:val="00385CCD"/>
    <w:rsid w:val="00386937"/>
    <w:rsid w:val="003874FA"/>
    <w:rsid w:val="00387EE1"/>
    <w:rsid w:val="003913AA"/>
    <w:rsid w:val="00391452"/>
    <w:rsid w:val="00391761"/>
    <w:rsid w:val="00391938"/>
    <w:rsid w:val="0039226A"/>
    <w:rsid w:val="0039234F"/>
    <w:rsid w:val="003929DB"/>
    <w:rsid w:val="00392A18"/>
    <w:rsid w:val="00393974"/>
    <w:rsid w:val="00393A44"/>
    <w:rsid w:val="00395ABE"/>
    <w:rsid w:val="00395F92"/>
    <w:rsid w:val="003960C6"/>
    <w:rsid w:val="00396987"/>
    <w:rsid w:val="00397072"/>
    <w:rsid w:val="003A00F9"/>
    <w:rsid w:val="003A2212"/>
    <w:rsid w:val="003A2690"/>
    <w:rsid w:val="003A27A7"/>
    <w:rsid w:val="003A3C50"/>
    <w:rsid w:val="003A44F7"/>
    <w:rsid w:val="003A477A"/>
    <w:rsid w:val="003A4936"/>
    <w:rsid w:val="003A54C2"/>
    <w:rsid w:val="003A58BD"/>
    <w:rsid w:val="003A5D82"/>
    <w:rsid w:val="003A62B5"/>
    <w:rsid w:val="003A67E1"/>
    <w:rsid w:val="003B04C5"/>
    <w:rsid w:val="003B2D2A"/>
    <w:rsid w:val="003B2DF3"/>
    <w:rsid w:val="003B3471"/>
    <w:rsid w:val="003B383B"/>
    <w:rsid w:val="003B4B0A"/>
    <w:rsid w:val="003B5210"/>
    <w:rsid w:val="003B586A"/>
    <w:rsid w:val="003B743F"/>
    <w:rsid w:val="003C0A27"/>
    <w:rsid w:val="003C1201"/>
    <w:rsid w:val="003C1C7F"/>
    <w:rsid w:val="003C2CB9"/>
    <w:rsid w:val="003C3416"/>
    <w:rsid w:val="003C4D09"/>
    <w:rsid w:val="003C5C62"/>
    <w:rsid w:val="003C5D6D"/>
    <w:rsid w:val="003D0885"/>
    <w:rsid w:val="003D0D37"/>
    <w:rsid w:val="003D3751"/>
    <w:rsid w:val="003D3AD4"/>
    <w:rsid w:val="003D51F9"/>
    <w:rsid w:val="003D572B"/>
    <w:rsid w:val="003D5F85"/>
    <w:rsid w:val="003D64DD"/>
    <w:rsid w:val="003D772A"/>
    <w:rsid w:val="003E070B"/>
    <w:rsid w:val="003E1735"/>
    <w:rsid w:val="003E18C9"/>
    <w:rsid w:val="003E1B91"/>
    <w:rsid w:val="003E1F8C"/>
    <w:rsid w:val="003E28C5"/>
    <w:rsid w:val="003E2B8B"/>
    <w:rsid w:val="003E3302"/>
    <w:rsid w:val="003E3FCA"/>
    <w:rsid w:val="003E40E8"/>
    <w:rsid w:val="003E455D"/>
    <w:rsid w:val="003E63F5"/>
    <w:rsid w:val="003E689F"/>
    <w:rsid w:val="003E698F"/>
    <w:rsid w:val="003E6B4C"/>
    <w:rsid w:val="003E7FF5"/>
    <w:rsid w:val="003F0400"/>
    <w:rsid w:val="003F1184"/>
    <w:rsid w:val="003F119E"/>
    <w:rsid w:val="003F1543"/>
    <w:rsid w:val="003F1970"/>
    <w:rsid w:val="003F31FE"/>
    <w:rsid w:val="003F4C5D"/>
    <w:rsid w:val="003F4D71"/>
    <w:rsid w:val="003F5524"/>
    <w:rsid w:val="003F5C45"/>
    <w:rsid w:val="003F5FB1"/>
    <w:rsid w:val="003F625A"/>
    <w:rsid w:val="003F73AB"/>
    <w:rsid w:val="003F73C1"/>
    <w:rsid w:val="003F7A37"/>
    <w:rsid w:val="003F7ABF"/>
    <w:rsid w:val="004003A7"/>
    <w:rsid w:val="00401864"/>
    <w:rsid w:val="00401C77"/>
    <w:rsid w:val="004026D2"/>
    <w:rsid w:val="0040353C"/>
    <w:rsid w:val="00403A62"/>
    <w:rsid w:val="00404176"/>
    <w:rsid w:val="00404499"/>
    <w:rsid w:val="0040514B"/>
    <w:rsid w:val="00405DA8"/>
    <w:rsid w:val="004068C4"/>
    <w:rsid w:val="004069DD"/>
    <w:rsid w:val="00406A28"/>
    <w:rsid w:val="0040736E"/>
    <w:rsid w:val="00407E25"/>
    <w:rsid w:val="00411624"/>
    <w:rsid w:val="00411B85"/>
    <w:rsid w:val="00412146"/>
    <w:rsid w:val="00412342"/>
    <w:rsid w:val="00412B75"/>
    <w:rsid w:val="004130C5"/>
    <w:rsid w:val="0041345E"/>
    <w:rsid w:val="00414BE1"/>
    <w:rsid w:val="00414D64"/>
    <w:rsid w:val="00415FB4"/>
    <w:rsid w:val="004167C0"/>
    <w:rsid w:val="004176A5"/>
    <w:rsid w:val="00417A24"/>
    <w:rsid w:val="00417C88"/>
    <w:rsid w:val="004202DD"/>
    <w:rsid w:val="00420C3A"/>
    <w:rsid w:val="00420DB8"/>
    <w:rsid w:val="0042106B"/>
    <w:rsid w:val="00421351"/>
    <w:rsid w:val="004217D1"/>
    <w:rsid w:val="00422426"/>
    <w:rsid w:val="004231AE"/>
    <w:rsid w:val="004233F3"/>
    <w:rsid w:val="00423690"/>
    <w:rsid w:val="00423D14"/>
    <w:rsid w:val="004249D1"/>
    <w:rsid w:val="00424E99"/>
    <w:rsid w:val="00425422"/>
    <w:rsid w:val="004305FE"/>
    <w:rsid w:val="00430600"/>
    <w:rsid w:val="00430C71"/>
    <w:rsid w:val="0043293D"/>
    <w:rsid w:val="0043492D"/>
    <w:rsid w:val="00435FE7"/>
    <w:rsid w:val="004362EE"/>
    <w:rsid w:val="004368D2"/>
    <w:rsid w:val="00437229"/>
    <w:rsid w:val="00437273"/>
    <w:rsid w:val="00437459"/>
    <w:rsid w:val="00437F6C"/>
    <w:rsid w:val="004406AD"/>
    <w:rsid w:val="00440F90"/>
    <w:rsid w:val="004431B6"/>
    <w:rsid w:val="00443690"/>
    <w:rsid w:val="004449D9"/>
    <w:rsid w:val="0044592F"/>
    <w:rsid w:val="004464D9"/>
    <w:rsid w:val="00447318"/>
    <w:rsid w:val="004478F7"/>
    <w:rsid w:val="00450022"/>
    <w:rsid w:val="0045038B"/>
    <w:rsid w:val="00451720"/>
    <w:rsid w:val="004526C3"/>
    <w:rsid w:val="00452FB4"/>
    <w:rsid w:val="0045346A"/>
    <w:rsid w:val="00453B16"/>
    <w:rsid w:val="00454199"/>
    <w:rsid w:val="004542FB"/>
    <w:rsid w:val="00454311"/>
    <w:rsid w:val="004544B4"/>
    <w:rsid w:val="004545B1"/>
    <w:rsid w:val="00455528"/>
    <w:rsid w:val="004556BC"/>
    <w:rsid w:val="004558D0"/>
    <w:rsid w:val="00460706"/>
    <w:rsid w:val="00462A92"/>
    <w:rsid w:val="0046309C"/>
    <w:rsid w:val="004634D9"/>
    <w:rsid w:val="00463549"/>
    <w:rsid w:val="00464249"/>
    <w:rsid w:val="004647BB"/>
    <w:rsid w:val="00464986"/>
    <w:rsid w:val="004649F1"/>
    <w:rsid w:val="00464D8D"/>
    <w:rsid w:val="0046532E"/>
    <w:rsid w:val="00465ED4"/>
    <w:rsid w:val="004669A4"/>
    <w:rsid w:val="00467151"/>
    <w:rsid w:val="004674B8"/>
    <w:rsid w:val="00467743"/>
    <w:rsid w:val="00467AA2"/>
    <w:rsid w:val="0047052B"/>
    <w:rsid w:val="00474AC4"/>
    <w:rsid w:val="00474E6F"/>
    <w:rsid w:val="00475651"/>
    <w:rsid w:val="00475A8D"/>
    <w:rsid w:val="00475D86"/>
    <w:rsid w:val="004761FF"/>
    <w:rsid w:val="00476360"/>
    <w:rsid w:val="00476508"/>
    <w:rsid w:val="0047652A"/>
    <w:rsid w:val="004766F7"/>
    <w:rsid w:val="00476FB3"/>
    <w:rsid w:val="004772A0"/>
    <w:rsid w:val="004804D3"/>
    <w:rsid w:val="004807F7"/>
    <w:rsid w:val="0048090B"/>
    <w:rsid w:val="00482228"/>
    <w:rsid w:val="004827BB"/>
    <w:rsid w:val="00482C24"/>
    <w:rsid w:val="004838CE"/>
    <w:rsid w:val="004864C2"/>
    <w:rsid w:val="004901DA"/>
    <w:rsid w:val="0049078B"/>
    <w:rsid w:val="00491815"/>
    <w:rsid w:val="00492819"/>
    <w:rsid w:val="0049298C"/>
    <w:rsid w:val="00492C72"/>
    <w:rsid w:val="00492DEC"/>
    <w:rsid w:val="00493703"/>
    <w:rsid w:val="00493B11"/>
    <w:rsid w:val="00493BBB"/>
    <w:rsid w:val="00493BE2"/>
    <w:rsid w:val="0049485B"/>
    <w:rsid w:val="00494EF8"/>
    <w:rsid w:val="004955F4"/>
    <w:rsid w:val="00495A2C"/>
    <w:rsid w:val="00495B42"/>
    <w:rsid w:val="00496268"/>
    <w:rsid w:val="00496824"/>
    <w:rsid w:val="00496F9B"/>
    <w:rsid w:val="00497B7D"/>
    <w:rsid w:val="00497D01"/>
    <w:rsid w:val="00497FBD"/>
    <w:rsid w:val="004A0EB6"/>
    <w:rsid w:val="004A105E"/>
    <w:rsid w:val="004A1470"/>
    <w:rsid w:val="004A1728"/>
    <w:rsid w:val="004A25E2"/>
    <w:rsid w:val="004A2C4F"/>
    <w:rsid w:val="004A34B7"/>
    <w:rsid w:val="004A3623"/>
    <w:rsid w:val="004A3636"/>
    <w:rsid w:val="004A4797"/>
    <w:rsid w:val="004A47DA"/>
    <w:rsid w:val="004A4A57"/>
    <w:rsid w:val="004A591D"/>
    <w:rsid w:val="004A6A4E"/>
    <w:rsid w:val="004A7834"/>
    <w:rsid w:val="004A7D84"/>
    <w:rsid w:val="004B07CE"/>
    <w:rsid w:val="004B08C5"/>
    <w:rsid w:val="004B0A36"/>
    <w:rsid w:val="004B0DA0"/>
    <w:rsid w:val="004B2DEA"/>
    <w:rsid w:val="004B3584"/>
    <w:rsid w:val="004B3D2A"/>
    <w:rsid w:val="004B4585"/>
    <w:rsid w:val="004B458C"/>
    <w:rsid w:val="004B4987"/>
    <w:rsid w:val="004B4B53"/>
    <w:rsid w:val="004B4F9C"/>
    <w:rsid w:val="004B5BC9"/>
    <w:rsid w:val="004B5D7B"/>
    <w:rsid w:val="004B5DAC"/>
    <w:rsid w:val="004B64E9"/>
    <w:rsid w:val="004B6E4E"/>
    <w:rsid w:val="004B7389"/>
    <w:rsid w:val="004B759E"/>
    <w:rsid w:val="004C066B"/>
    <w:rsid w:val="004C079A"/>
    <w:rsid w:val="004C0A6D"/>
    <w:rsid w:val="004C0C5A"/>
    <w:rsid w:val="004C1148"/>
    <w:rsid w:val="004C142F"/>
    <w:rsid w:val="004C16BE"/>
    <w:rsid w:val="004C1A44"/>
    <w:rsid w:val="004C244D"/>
    <w:rsid w:val="004C3C96"/>
    <w:rsid w:val="004C48F2"/>
    <w:rsid w:val="004C4A39"/>
    <w:rsid w:val="004C4F03"/>
    <w:rsid w:val="004C5E41"/>
    <w:rsid w:val="004C627C"/>
    <w:rsid w:val="004C66A1"/>
    <w:rsid w:val="004C6CD8"/>
    <w:rsid w:val="004C7208"/>
    <w:rsid w:val="004C7AAA"/>
    <w:rsid w:val="004C7F7E"/>
    <w:rsid w:val="004D0D0D"/>
    <w:rsid w:val="004D0F74"/>
    <w:rsid w:val="004D1377"/>
    <w:rsid w:val="004D1C18"/>
    <w:rsid w:val="004D1E71"/>
    <w:rsid w:val="004D2471"/>
    <w:rsid w:val="004D2548"/>
    <w:rsid w:val="004D2EBB"/>
    <w:rsid w:val="004D5FA8"/>
    <w:rsid w:val="004D66E3"/>
    <w:rsid w:val="004D6E90"/>
    <w:rsid w:val="004D744D"/>
    <w:rsid w:val="004D7E97"/>
    <w:rsid w:val="004D7FA6"/>
    <w:rsid w:val="004E02AE"/>
    <w:rsid w:val="004E1201"/>
    <w:rsid w:val="004E1DF0"/>
    <w:rsid w:val="004E214C"/>
    <w:rsid w:val="004E283E"/>
    <w:rsid w:val="004E2970"/>
    <w:rsid w:val="004E2A3D"/>
    <w:rsid w:val="004E2C8C"/>
    <w:rsid w:val="004E4C3D"/>
    <w:rsid w:val="004E4F99"/>
    <w:rsid w:val="004E5405"/>
    <w:rsid w:val="004E593F"/>
    <w:rsid w:val="004E64B5"/>
    <w:rsid w:val="004E67F5"/>
    <w:rsid w:val="004E6879"/>
    <w:rsid w:val="004E6BB7"/>
    <w:rsid w:val="004E7043"/>
    <w:rsid w:val="004E7D47"/>
    <w:rsid w:val="004F0152"/>
    <w:rsid w:val="004F1094"/>
    <w:rsid w:val="004F21CA"/>
    <w:rsid w:val="004F22B8"/>
    <w:rsid w:val="004F2837"/>
    <w:rsid w:val="004F339F"/>
    <w:rsid w:val="004F3419"/>
    <w:rsid w:val="004F3767"/>
    <w:rsid w:val="004F4081"/>
    <w:rsid w:val="004F46D0"/>
    <w:rsid w:val="004F55C1"/>
    <w:rsid w:val="004F55DB"/>
    <w:rsid w:val="004F5F06"/>
    <w:rsid w:val="004F610D"/>
    <w:rsid w:val="004F6182"/>
    <w:rsid w:val="004F7277"/>
    <w:rsid w:val="0050025D"/>
    <w:rsid w:val="005005E7"/>
    <w:rsid w:val="00501D70"/>
    <w:rsid w:val="005024CE"/>
    <w:rsid w:val="00502C80"/>
    <w:rsid w:val="00503714"/>
    <w:rsid w:val="0050455A"/>
    <w:rsid w:val="00504A3D"/>
    <w:rsid w:val="00504B7A"/>
    <w:rsid w:val="00504FB0"/>
    <w:rsid w:val="0050511D"/>
    <w:rsid w:val="00506352"/>
    <w:rsid w:val="005065AA"/>
    <w:rsid w:val="005073CB"/>
    <w:rsid w:val="00507E5C"/>
    <w:rsid w:val="00510063"/>
    <w:rsid w:val="0051006B"/>
    <w:rsid w:val="00510E68"/>
    <w:rsid w:val="00510F0C"/>
    <w:rsid w:val="005111DF"/>
    <w:rsid w:val="005118E1"/>
    <w:rsid w:val="00511E14"/>
    <w:rsid w:val="00513024"/>
    <w:rsid w:val="005138FD"/>
    <w:rsid w:val="0051422E"/>
    <w:rsid w:val="00514801"/>
    <w:rsid w:val="00514CD0"/>
    <w:rsid w:val="0051504B"/>
    <w:rsid w:val="00516A43"/>
    <w:rsid w:val="00516EE9"/>
    <w:rsid w:val="00516F01"/>
    <w:rsid w:val="00517128"/>
    <w:rsid w:val="00517232"/>
    <w:rsid w:val="00517625"/>
    <w:rsid w:val="005176AE"/>
    <w:rsid w:val="00517A8A"/>
    <w:rsid w:val="005211F0"/>
    <w:rsid w:val="005214AA"/>
    <w:rsid w:val="00522BEF"/>
    <w:rsid w:val="005237B9"/>
    <w:rsid w:val="00523808"/>
    <w:rsid w:val="00524526"/>
    <w:rsid w:val="00525F49"/>
    <w:rsid w:val="0052638B"/>
    <w:rsid w:val="00526537"/>
    <w:rsid w:val="00526C8E"/>
    <w:rsid w:val="0052773A"/>
    <w:rsid w:val="00527870"/>
    <w:rsid w:val="00527B7F"/>
    <w:rsid w:val="00527BE8"/>
    <w:rsid w:val="0053026A"/>
    <w:rsid w:val="00530B7D"/>
    <w:rsid w:val="005310FE"/>
    <w:rsid w:val="0053128C"/>
    <w:rsid w:val="005313FC"/>
    <w:rsid w:val="0053231B"/>
    <w:rsid w:val="00532532"/>
    <w:rsid w:val="00533078"/>
    <w:rsid w:val="005334C6"/>
    <w:rsid w:val="005339A1"/>
    <w:rsid w:val="00533D5F"/>
    <w:rsid w:val="00534484"/>
    <w:rsid w:val="00534AA8"/>
    <w:rsid w:val="00535611"/>
    <w:rsid w:val="00535B36"/>
    <w:rsid w:val="0053713B"/>
    <w:rsid w:val="005371D0"/>
    <w:rsid w:val="00540816"/>
    <w:rsid w:val="005408F4"/>
    <w:rsid w:val="00540C29"/>
    <w:rsid w:val="00540ED0"/>
    <w:rsid w:val="0054188F"/>
    <w:rsid w:val="0054211B"/>
    <w:rsid w:val="005422E6"/>
    <w:rsid w:val="00542BDD"/>
    <w:rsid w:val="00542E48"/>
    <w:rsid w:val="00543F61"/>
    <w:rsid w:val="00544A46"/>
    <w:rsid w:val="00545724"/>
    <w:rsid w:val="00545AE3"/>
    <w:rsid w:val="005462D6"/>
    <w:rsid w:val="00547363"/>
    <w:rsid w:val="00547595"/>
    <w:rsid w:val="00550B61"/>
    <w:rsid w:val="005525FC"/>
    <w:rsid w:val="0055284C"/>
    <w:rsid w:val="00552BE8"/>
    <w:rsid w:val="005534BE"/>
    <w:rsid w:val="0055519B"/>
    <w:rsid w:val="00555517"/>
    <w:rsid w:val="00555ACE"/>
    <w:rsid w:val="0055633C"/>
    <w:rsid w:val="00556C2D"/>
    <w:rsid w:val="00557211"/>
    <w:rsid w:val="0055777F"/>
    <w:rsid w:val="00557AF3"/>
    <w:rsid w:val="00560561"/>
    <w:rsid w:val="00561846"/>
    <w:rsid w:val="00563623"/>
    <w:rsid w:val="0056429E"/>
    <w:rsid w:val="00565EE5"/>
    <w:rsid w:val="00566049"/>
    <w:rsid w:val="00566CF0"/>
    <w:rsid w:val="00566E7D"/>
    <w:rsid w:val="0056728D"/>
    <w:rsid w:val="00567D36"/>
    <w:rsid w:val="005717C5"/>
    <w:rsid w:val="00571856"/>
    <w:rsid w:val="00571C37"/>
    <w:rsid w:val="005724AC"/>
    <w:rsid w:val="005738EC"/>
    <w:rsid w:val="00573AD5"/>
    <w:rsid w:val="00573E2A"/>
    <w:rsid w:val="00573EFB"/>
    <w:rsid w:val="00574C5B"/>
    <w:rsid w:val="00574FE5"/>
    <w:rsid w:val="00575F4E"/>
    <w:rsid w:val="0057687B"/>
    <w:rsid w:val="00576A5F"/>
    <w:rsid w:val="005814FB"/>
    <w:rsid w:val="00581666"/>
    <w:rsid w:val="00583566"/>
    <w:rsid w:val="005856AB"/>
    <w:rsid w:val="005856DA"/>
    <w:rsid w:val="00585E08"/>
    <w:rsid w:val="00586233"/>
    <w:rsid w:val="00587377"/>
    <w:rsid w:val="00590341"/>
    <w:rsid w:val="00592C4C"/>
    <w:rsid w:val="00592F4A"/>
    <w:rsid w:val="005938F1"/>
    <w:rsid w:val="00593A39"/>
    <w:rsid w:val="00593BF4"/>
    <w:rsid w:val="00593DA4"/>
    <w:rsid w:val="00593DC4"/>
    <w:rsid w:val="005945DA"/>
    <w:rsid w:val="00595EDF"/>
    <w:rsid w:val="0059623C"/>
    <w:rsid w:val="00596609"/>
    <w:rsid w:val="005971EF"/>
    <w:rsid w:val="00597838"/>
    <w:rsid w:val="0059787E"/>
    <w:rsid w:val="005978E3"/>
    <w:rsid w:val="00597A67"/>
    <w:rsid w:val="005A01EF"/>
    <w:rsid w:val="005A06E5"/>
    <w:rsid w:val="005A072B"/>
    <w:rsid w:val="005A16C6"/>
    <w:rsid w:val="005A1FC6"/>
    <w:rsid w:val="005A4217"/>
    <w:rsid w:val="005A4306"/>
    <w:rsid w:val="005A486E"/>
    <w:rsid w:val="005A5023"/>
    <w:rsid w:val="005A61E5"/>
    <w:rsid w:val="005A7524"/>
    <w:rsid w:val="005B17BE"/>
    <w:rsid w:val="005B1B6C"/>
    <w:rsid w:val="005B1E8E"/>
    <w:rsid w:val="005B2768"/>
    <w:rsid w:val="005B2C47"/>
    <w:rsid w:val="005B3AA8"/>
    <w:rsid w:val="005B3F3F"/>
    <w:rsid w:val="005B51CD"/>
    <w:rsid w:val="005B62B7"/>
    <w:rsid w:val="005B7C62"/>
    <w:rsid w:val="005B7FC4"/>
    <w:rsid w:val="005C0438"/>
    <w:rsid w:val="005C0495"/>
    <w:rsid w:val="005C0F46"/>
    <w:rsid w:val="005C13DE"/>
    <w:rsid w:val="005C1CC0"/>
    <w:rsid w:val="005C3997"/>
    <w:rsid w:val="005C4335"/>
    <w:rsid w:val="005C4954"/>
    <w:rsid w:val="005C4CCD"/>
    <w:rsid w:val="005C5AF1"/>
    <w:rsid w:val="005C5C90"/>
    <w:rsid w:val="005C7177"/>
    <w:rsid w:val="005C7A50"/>
    <w:rsid w:val="005D03BC"/>
    <w:rsid w:val="005D1098"/>
    <w:rsid w:val="005D1200"/>
    <w:rsid w:val="005D1883"/>
    <w:rsid w:val="005D1CD6"/>
    <w:rsid w:val="005D20AF"/>
    <w:rsid w:val="005D2544"/>
    <w:rsid w:val="005D4387"/>
    <w:rsid w:val="005D482A"/>
    <w:rsid w:val="005D53A1"/>
    <w:rsid w:val="005D59DB"/>
    <w:rsid w:val="005D5D8D"/>
    <w:rsid w:val="005D5EA9"/>
    <w:rsid w:val="005D5EE4"/>
    <w:rsid w:val="005D6704"/>
    <w:rsid w:val="005D679A"/>
    <w:rsid w:val="005D7D91"/>
    <w:rsid w:val="005E09DC"/>
    <w:rsid w:val="005E0CC9"/>
    <w:rsid w:val="005E1885"/>
    <w:rsid w:val="005E1FB4"/>
    <w:rsid w:val="005E2AA9"/>
    <w:rsid w:val="005E372E"/>
    <w:rsid w:val="005E441F"/>
    <w:rsid w:val="005E4650"/>
    <w:rsid w:val="005E50F1"/>
    <w:rsid w:val="005E642B"/>
    <w:rsid w:val="005E7097"/>
    <w:rsid w:val="005E709A"/>
    <w:rsid w:val="005E712B"/>
    <w:rsid w:val="005E7E2A"/>
    <w:rsid w:val="005F0335"/>
    <w:rsid w:val="005F09B8"/>
    <w:rsid w:val="005F0F23"/>
    <w:rsid w:val="005F1DE5"/>
    <w:rsid w:val="005F23D5"/>
    <w:rsid w:val="005F2699"/>
    <w:rsid w:val="005F2B53"/>
    <w:rsid w:val="005F30B0"/>
    <w:rsid w:val="005F31C3"/>
    <w:rsid w:val="005F330A"/>
    <w:rsid w:val="005F3940"/>
    <w:rsid w:val="005F3F9B"/>
    <w:rsid w:val="005F5ACE"/>
    <w:rsid w:val="005F605E"/>
    <w:rsid w:val="005F6B8C"/>
    <w:rsid w:val="005F6EF4"/>
    <w:rsid w:val="005F703B"/>
    <w:rsid w:val="005F75FA"/>
    <w:rsid w:val="005F7BAF"/>
    <w:rsid w:val="006001CB"/>
    <w:rsid w:val="00600CAB"/>
    <w:rsid w:val="006029DA"/>
    <w:rsid w:val="00603AF9"/>
    <w:rsid w:val="00604E37"/>
    <w:rsid w:val="006055D5"/>
    <w:rsid w:val="0060562B"/>
    <w:rsid w:val="00605B56"/>
    <w:rsid w:val="00605B63"/>
    <w:rsid w:val="0060612B"/>
    <w:rsid w:val="006066F9"/>
    <w:rsid w:val="00607D8D"/>
    <w:rsid w:val="006102C8"/>
    <w:rsid w:val="0061033A"/>
    <w:rsid w:val="00611493"/>
    <w:rsid w:val="00611710"/>
    <w:rsid w:val="0061245C"/>
    <w:rsid w:val="006125B9"/>
    <w:rsid w:val="0061289F"/>
    <w:rsid w:val="00614D26"/>
    <w:rsid w:val="00615846"/>
    <w:rsid w:val="00616474"/>
    <w:rsid w:val="00616EE4"/>
    <w:rsid w:val="0061773E"/>
    <w:rsid w:val="006177B1"/>
    <w:rsid w:val="006209C2"/>
    <w:rsid w:val="00621CFD"/>
    <w:rsid w:val="006220D3"/>
    <w:rsid w:val="00622722"/>
    <w:rsid w:val="00622FDE"/>
    <w:rsid w:val="006233CA"/>
    <w:rsid w:val="0062362B"/>
    <w:rsid w:val="0062362E"/>
    <w:rsid w:val="00624C25"/>
    <w:rsid w:val="00626C08"/>
    <w:rsid w:val="00626C13"/>
    <w:rsid w:val="00627179"/>
    <w:rsid w:val="006275C4"/>
    <w:rsid w:val="006275EB"/>
    <w:rsid w:val="006313C0"/>
    <w:rsid w:val="006319F0"/>
    <w:rsid w:val="006324E8"/>
    <w:rsid w:val="00632650"/>
    <w:rsid w:val="00632CEB"/>
    <w:rsid w:val="00632EC3"/>
    <w:rsid w:val="0063332D"/>
    <w:rsid w:val="00633C66"/>
    <w:rsid w:val="00636524"/>
    <w:rsid w:val="00637531"/>
    <w:rsid w:val="00640430"/>
    <w:rsid w:val="006405B2"/>
    <w:rsid w:val="00640B4F"/>
    <w:rsid w:val="00641494"/>
    <w:rsid w:val="00641698"/>
    <w:rsid w:val="00642D79"/>
    <w:rsid w:val="006432FC"/>
    <w:rsid w:val="00643487"/>
    <w:rsid w:val="006435D6"/>
    <w:rsid w:val="00643C4B"/>
    <w:rsid w:val="00644447"/>
    <w:rsid w:val="006446B8"/>
    <w:rsid w:val="006449A5"/>
    <w:rsid w:val="00644DB2"/>
    <w:rsid w:val="00645A90"/>
    <w:rsid w:val="00646362"/>
    <w:rsid w:val="00646425"/>
    <w:rsid w:val="006472ED"/>
    <w:rsid w:val="006473E5"/>
    <w:rsid w:val="00650827"/>
    <w:rsid w:val="00650CB6"/>
    <w:rsid w:val="00651071"/>
    <w:rsid w:val="006510B1"/>
    <w:rsid w:val="006511F5"/>
    <w:rsid w:val="006522A3"/>
    <w:rsid w:val="0065326D"/>
    <w:rsid w:val="006535C3"/>
    <w:rsid w:val="00653963"/>
    <w:rsid w:val="00653C90"/>
    <w:rsid w:val="00654019"/>
    <w:rsid w:val="006548A8"/>
    <w:rsid w:val="006551E0"/>
    <w:rsid w:val="00655613"/>
    <w:rsid w:val="006558A2"/>
    <w:rsid w:val="006558DF"/>
    <w:rsid w:val="006558EB"/>
    <w:rsid w:val="00655CB0"/>
    <w:rsid w:val="00655FAC"/>
    <w:rsid w:val="006564E4"/>
    <w:rsid w:val="00656A0C"/>
    <w:rsid w:val="00656D88"/>
    <w:rsid w:val="00657B48"/>
    <w:rsid w:val="00657FF6"/>
    <w:rsid w:val="00660359"/>
    <w:rsid w:val="00660C03"/>
    <w:rsid w:val="00661399"/>
    <w:rsid w:val="00661965"/>
    <w:rsid w:val="00661AC7"/>
    <w:rsid w:val="006626C4"/>
    <w:rsid w:val="00663301"/>
    <w:rsid w:val="006639AA"/>
    <w:rsid w:val="00665AAA"/>
    <w:rsid w:val="00665E08"/>
    <w:rsid w:val="00666028"/>
    <w:rsid w:val="00666633"/>
    <w:rsid w:val="006669F5"/>
    <w:rsid w:val="00667995"/>
    <w:rsid w:val="00670572"/>
    <w:rsid w:val="00671524"/>
    <w:rsid w:val="00672E97"/>
    <w:rsid w:val="006756AE"/>
    <w:rsid w:val="00676440"/>
    <w:rsid w:val="00676614"/>
    <w:rsid w:val="00677AFF"/>
    <w:rsid w:val="00680210"/>
    <w:rsid w:val="006806A9"/>
    <w:rsid w:val="00680743"/>
    <w:rsid w:val="00680ABB"/>
    <w:rsid w:val="00682683"/>
    <w:rsid w:val="00682D4A"/>
    <w:rsid w:val="00682F54"/>
    <w:rsid w:val="00683086"/>
    <w:rsid w:val="006836A5"/>
    <w:rsid w:val="00683F34"/>
    <w:rsid w:val="00684267"/>
    <w:rsid w:val="006844CC"/>
    <w:rsid w:val="00685054"/>
    <w:rsid w:val="00685D2B"/>
    <w:rsid w:val="006861A9"/>
    <w:rsid w:val="00686221"/>
    <w:rsid w:val="006863E3"/>
    <w:rsid w:val="00686E4A"/>
    <w:rsid w:val="0068709D"/>
    <w:rsid w:val="0068715F"/>
    <w:rsid w:val="00687941"/>
    <w:rsid w:val="00687AA0"/>
    <w:rsid w:val="00690090"/>
    <w:rsid w:val="00690614"/>
    <w:rsid w:val="00690819"/>
    <w:rsid w:val="0069085A"/>
    <w:rsid w:val="00692E66"/>
    <w:rsid w:val="00694486"/>
    <w:rsid w:val="00696102"/>
    <w:rsid w:val="00696426"/>
    <w:rsid w:val="0069659F"/>
    <w:rsid w:val="00696760"/>
    <w:rsid w:val="00697DA3"/>
    <w:rsid w:val="006A47DC"/>
    <w:rsid w:val="006A5DEB"/>
    <w:rsid w:val="006A5EBD"/>
    <w:rsid w:val="006A7EB5"/>
    <w:rsid w:val="006B059E"/>
    <w:rsid w:val="006B1848"/>
    <w:rsid w:val="006B1904"/>
    <w:rsid w:val="006B19F1"/>
    <w:rsid w:val="006B2055"/>
    <w:rsid w:val="006B26F6"/>
    <w:rsid w:val="006B292C"/>
    <w:rsid w:val="006B2F75"/>
    <w:rsid w:val="006B2FC8"/>
    <w:rsid w:val="006B3915"/>
    <w:rsid w:val="006B41CA"/>
    <w:rsid w:val="006B46EB"/>
    <w:rsid w:val="006B64E9"/>
    <w:rsid w:val="006B687A"/>
    <w:rsid w:val="006B6C5B"/>
    <w:rsid w:val="006B6DAE"/>
    <w:rsid w:val="006B6EFD"/>
    <w:rsid w:val="006B6FCE"/>
    <w:rsid w:val="006B79E7"/>
    <w:rsid w:val="006C07BA"/>
    <w:rsid w:val="006C0A76"/>
    <w:rsid w:val="006C0E14"/>
    <w:rsid w:val="006C10A4"/>
    <w:rsid w:val="006C10AE"/>
    <w:rsid w:val="006C282E"/>
    <w:rsid w:val="006C302F"/>
    <w:rsid w:val="006C309F"/>
    <w:rsid w:val="006C3AAE"/>
    <w:rsid w:val="006C4378"/>
    <w:rsid w:val="006C45E1"/>
    <w:rsid w:val="006C52E3"/>
    <w:rsid w:val="006C5ADA"/>
    <w:rsid w:val="006C644F"/>
    <w:rsid w:val="006C6C9A"/>
    <w:rsid w:val="006D0498"/>
    <w:rsid w:val="006D099F"/>
    <w:rsid w:val="006D09FA"/>
    <w:rsid w:val="006D1247"/>
    <w:rsid w:val="006D178C"/>
    <w:rsid w:val="006D21B8"/>
    <w:rsid w:val="006D25D4"/>
    <w:rsid w:val="006D2702"/>
    <w:rsid w:val="006D2F25"/>
    <w:rsid w:val="006D327E"/>
    <w:rsid w:val="006D34F1"/>
    <w:rsid w:val="006D43C7"/>
    <w:rsid w:val="006D4542"/>
    <w:rsid w:val="006D4F8A"/>
    <w:rsid w:val="006D6E77"/>
    <w:rsid w:val="006E145C"/>
    <w:rsid w:val="006E205A"/>
    <w:rsid w:val="006E271E"/>
    <w:rsid w:val="006E278A"/>
    <w:rsid w:val="006E2CB1"/>
    <w:rsid w:val="006E2F91"/>
    <w:rsid w:val="006E3910"/>
    <w:rsid w:val="006E3A89"/>
    <w:rsid w:val="006E44C8"/>
    <w:rsid w:val="006E4812"/>
    <w:rsid w:val="006E5574"/>
    <w:rsid w:val="006E56D2"/>
    <w:rsid w:val="006E5BCE"/>
    <w:rsid w:val="006E6122"/>
    <w:rsid w:val="006E673F"/>
    <w:rsid w:val="006E6794"/>
    <w:rsid w:val="006E67BF"/>
    <w:rsid w:val="006E6B26"/>
    <w:rsid w:val="006E6C6E"/>
    <w:rsid w:val="006E709F"/>
    <w:rsid w:val="006E7427"/>
    <w:rsid w:val="006E7A8F"/>
    <w:rsid w:val="006E7D10"/>
    <w:rsid w:val="006F00B9"/>
    <w:rsid w:val="006F0F37"/>
    <w:rsid w:val="006F0FE0"/>
    <w:rsid w:val="006F179B"/>
    <w:rsid w:val="006F258E"/>
    <w:rsid w:val="006F3035"/>
    <w:rsid w:val="006F376E"/>
    <w:rsid w:val="006F384B"/>
    <w:rsid w:val="006F3D21"/>
    <w:rsid w:val="006F411E"/>
    <w:rsid w:val="006F575C"/>
    <w:rsid w:val="006F58CC"/>
    <w:rsid w:val="006F6227"/>
    <w:rsid w:val="006F6C78"/>
    <w:rsid w:val="006F715A"/>
    <w:rsid w:val="006F728F"/>
    <w:rsid w:val="006F7636"/>
    <w:rsid w:val="006F7D9E"/>
    <w:rsid w:val="00701889"/>
    <w:rsid w:val="007025EB"/>
    <w:rsid w:val="007029BC"/>
    <w:rsid w:val="00702A71"/>
    <w:rsid w:val="007038D7"/>
    <w:rsid w:val="00703BF6"/>
    <w:rsid w:val="007049F9"/>
    <w:rsid w:val="00705F64"/>
    <w:rsid w:val="00706E96"/>
    <w:rsid w:val="007100DE"/>
    <w:rsid w:val="007101B6"/>
    <w:rsid w:val="0071046C"/>
    <w:rsid w:val="00710BA8"/>
    <w:rsid w:val="00710DC4"/>
    <w:rsid w:val="00710E13"/>
    <w:rsid w:val="00711B1E"/>
    <w:rsid w:val="00711C51"/>
    <w:rsid w:val="00711D1D"/>
    <w:rsid w:val="0071209A"/>
    <w:rsid w:val="00713764"/>
    <w:rsid w:val="00713CF1"/>
    <w:rsid w:val="007145A9"/>
    <w:rsid w:val="0071528B"/>
    <w:rsid w:val="00715AED"/>
    <w:rsid w:val="00717C8B"/>
    <w:rsid w:val="00721669"/>
    <w:rsid w:val="00722E9C"/>
    <w:rsid w:val="00722E9E"/>
    <w:rsid w:val="007231BE"/>
    <w:rsid w:val="00723608"/>
    <w:rsid w:val="00725F1D"/>
    <w:rsid w:val="00726709"/>
    <w:rsid w:val="00726B36"/>
    <w:rsid w:val="00726B82"/>
    <w:rsid w:val="0072768F"/>
    <w:rsid w:val="00727EF7"/>
    <w:rsid w:val="00730268"/>
    <w:rsid w:val="00730375"/>
    <w:rsid w:val="00730A52"/>
    <w:rsid w:val="00730E1F"/>
    <w:rsid w:val="0073146B"/>
    <w:rsid w:val="00731C93"/>
    <w:rsid w:val="0073220C"/>
    <w:rsid w:val="00732769"/>
    <w:rsid w:val="00732996"/>
    <w:rsid w:val="00732D64"/>
    <w:rsid w:val="0073323F"/>
    <w:rsid w:val="007337AA"/>
    <w:rsid w:val="00733876"/>
    <w:rsid w:val="00734570"/>
    <w:rsid w:val="00735025"/>
    <w:rsid w:val="00735341"/>
    <w:rsid w:val="00736C61"/>
    <w:rsid w:val="00736ED3"/>
    <w:rsid w:val="00736F98"/>
    <w:rsid w:val="00740171"/>
    <w:rsid w:val="0074038B"/>
    <w:rsid w:val="00740BAF"/>
    <w:rsid w:val="00740BD9"/>
    <w:rsid w:val="00740D77"/>
    <w:rsid w:val="00741146"/>
    <w:rsid w:val="007418CF"/>
    <w:rsid w:val="00741BF3"/>
    <w:rsid w:val="007423A7"/>
    <w:rsid w:val="00742459"/>
    <w:rsid w:val="007431BA"/>
    <w:rsid w:val="00744C8C"/>
    <w:rsid w:val="00745429"/>
    <w:rsid w:val="00746974"/>
    <w:rsid w:val="007477E5"/>
    <w:rsid w:val="00747E22"/>
    <w:rsid w:val="007502EE"/>
    <w:rsid w:val="00750446"/>
    <w:rsid w:val="007517C2"/>
    <w:rsid w:val="00751DEE"/>
    <w:rsid w:val="00752B7E"/>
    <w:rsid w:val="007537FA"/>
    <w:rsid w:val="00753925"/>
    <w:rsid w:val="00753CF1"/>
    <w:rsid w:val="0075440F"/>
    <w:rsid w:val="00754498"/>
    <w:rsid w:val="0075555B"/>
    <w:rsid w:val="0075605A"/>
    <w:rsid w:val="007568CD"/>
    <w:rsid w:val="00757C28"/>
    <w:rsid w:val="0076078E"/>
    <w:rsid w:val="0076277C"/>
    <w:rsid w:val="00762F97"/>
    <w:rsid w:val="0076450C"/>
    <w:rsid w:val="007650D2"/>
    <w:rsid w:val="007650F8"/>
    <w:rsid w:val="00766379"/>
    <w:rsid w:val="007666CC"/>
    <w:rsid w:val="00766D67"/>
    <w:rsid w:val="00766E1B"/>
    <w:rsid w:val="0076759D"/>
    <w:rsid w:val="0076798C"/>
    <w:rsid w:val="00767FE8"/>
    <w:rsid w:val="0076BE18"/>
    <w:rsid w:val="007702FC"/>
    <w:rsid w:val="00771A8F"/>
    <w:rsid w:val="00771FDA"/>
    <w:rsid w:val="00772460"/>
    <w:rsid w:val="0077316B"/>
    <w:rsid w:val="007734A3"/>
    <w:rsid w:val="00774D07"/>
    <w:rsid w:val="0077501E"/>
    <w:rsid w:val="007750D6"/>
    <w:rsid w:val="007750F7"/>
    <w:rsid w:val="007751F7"/>
    <w:rsid w:val="00775AB7"/>
    <w:rsid w:val="00776534"/>
    <w:rsid w:val="00776E0D"/>
    <w:rsid w:val="00777302"/>
    <w:rsid w:val="0077761B"/>
    <w:rsid w:val="0077772E"/>
    <w:rsid w:val="00777C16"/>
    <w:rsid w:val="007810BE"/>
    <w:rsid w:val="00781681"/>
    <w:rsid w:val="0078170C"/>
    <w:rsid w:val="00781AAC"/>
    <w:rsid w:val="007838C0"/>
    <w:rsid w:val="00783CAF"/>
    <w:rsid w:val="00783F72"/>
    <w:rsid w:val="007845C8"/>
    <w:rsid w:val="00784DFD"/>
    <w:rsid w:val="007858C0"/>
    <w:rsid w:val="00785BE7"/>
    <w:rsid w:val="007871FA"/>
    <w:rsid w:val="00787A0D"/>
    <w:rsid w:val="00792A01"/>
    <w:rsid w:val="007934E0"/>
    <w:rsid w:val="0079392E"/>
    <w:rsid w:val="00793F67"/>
    <w:rsid w:val="007943D1"/>
    <w:rsid w:val="0079563B"/>
    <w:rsid w:val="007958E3"/>
    <w:rsid w:val="0079597C"/>
    <w:rsid w:val="007961C8"/>
    <w:rsid w:val="0079641B"/>
    <w:rsid w:val="00796D89"/>
    <w:rsid w:val="0079723B"/>
    <w:rsid w:val="007A0EAC"/>
    <w:rsid w:val="007A1143"/>
    <w:rsid w:val="007A1CF4"/>
    <w:rsid w:val="007A2D45"/>
    <w:rsid w:val="007A2EAB"/>
    <w:rsid w:val="007A3317"/>
    <w:rsid w:val="007A3C59"/>
    <w:rsid w:val="007A403A"/>
    <w:rsid w:val="007A4E4C"/>
    <w:rsid w:val="007A5571"/>
    <w:rsid w:val="007A5FC8"/>
    <w:rsid w:val="007B0B7D"/>
    <w:rsid w:val="007B1CC6"/>
    <w:rsid w:val="007B207F"/>
    <w:rsid w:val="007B29A9"/>
    <w:rsid w:val="007B2D39"/>
    <w:rsid w:val="007B2DF8"/>
    <w:rsid w:val="007B3E9F"/>
    <w:rsid w:val="007B49FE"/>
    <w:rsid w:val="007B5647"/>
    <w:rsid w:val="007B6097"/>
    <w:rsid w:val="007B624B"/>
    <w:rsid w:val="007B6984"/>
    <w:rsid w:val="007B6D4F"/>
    <w:rsid w:val="007B767D"/>
    <w:rsid w:val="007C02FE"/>
    <w:rsid w:val="007C17EF"/>
    <w:rsid w:val="007C1B16"/>
    <w:rsid w:val="007C1F8B"/>
    <w:rsid w:val="007C2037"/>
    <w:rsid w:val="007C3D62"/>
    <w:rsid w:val="007C3F4F"/>
    <w:rsid w:val="007C414C"/>
    <w:rsid w:val="007C5B2E"/>
    <w:rsid w:val="007C5CFE"/>
    <w:rsid w:val="007C5D0B"/>
    <w:rsid w:val="007C7E24"/>
    <w:rsid w:val="007D0008"/>
    <w:rsid w:val="007D0A65"/>
    <w:rsid w:val="007D0C6B"/>
    <w:rsid w:val="007D0E79"/>
    <w:rsid w:val="007D18C6"/>
    <w:rsid w:val="007D20A1"/>
    <w:rsid w:val="007D2626"/>
    <w:rsid w:val="007D34F5"/>
    <w:rsid w:val="007D3EC3"/>
    <w:rsid w:val="007D3FFC"/>
    <w:rsid w:val="007D4AFF"/>
    <w:rsid w:val="007D531D"/>
    <w:rsid w:val="007D5467"/>
    <w:rsid w:val="007D562F"/>
    <w:rsid w:val="007D5C06"/>
    <w:rsid w:val="007D5EEC"/>
    <w:rsid w:val="007D6A05"/>
    <w:rsid w:val="007D6D8D"/>
    <w:rsid w:val="007D70DC"/>
    <w:rsid w:val="007D7373"/>
    <w:rsid w:val="007E03DA"/>
    <w:rsid w:val="007E0EB9"/>
    <w:rsid w:val="007E2FF8"/>
    <w:rsid w:val="007E380F"/>
    <w:rsid w:val="007E42F3"/>
    <w:rsid w:val="007E591C"/>
    <w:rsid w:val="007E60DD"/>
    <w:rsid w:val="007E615F"/>
    <w:rsid w:val="007E6F7B"/>
    <w:rsid w:val="007E75A7"/>
    <w:rsid w:val="007E7F06"/>
    <w:rsid w:val="007F032B"/>
    <w:rsid w:val="007F08C1"/>
    <w:rsid w:val="007F0A2B"/>
    <w:rsid w:val="007F0D99"/>
    <w:rsid w:val="007F1677"/>
    <w:rsid w:val="007F19BF"/>
    <w:rsid w:val="007F1B8E"/>
    <w:rsid w:val="007F4133"/>
    <w:rsid w:val="007F4CA7"/>
    <w:rsid w:val="007F56E9"/>
    <w:rsid w:val="007F58AD"/>
    <w:rsid w:val="007F5A17"/>
    <w:rsid w:val="007F5DE1"/>
    <w:rsid w:val="007F5F1C"/>
    <w:rsid w:val="007F639E"/>
    <w:rsid w:val="007F781C"/>
    <w:rsid w:val="007F7DB1"/>
    <w:rsid w:val="008014A1"/>
    <w:rsid w:val="0080193C"/>
    <w:rsid w:val="00801F99"/>
    <w:rsid w:val="008031CD"/>
    <w:rsid w:val="00803294"/>
    <w:rsid w:val="00805847"/>
    <w:rsid w:val="00806227"/>
    <w:rsid w:val="00806F1C"/>
    <w:rsid w:val="0080742B"/>
    <w:rsid w:val="00807C71"/>
    <w:rsid w:val="00807D57"/>
    <w:rsid w:val="0081320A"/>
    <w:rsid w:val="008134B3"/>
    <w:rsid w:val="00813583"/>
    <w:rsid w:val="00813A16"/>
    <w:rsid w:val="0081454B"/>
    <w:rsid w:val="00814C77"/>
    <w:rsid w:val="0081514C"/>
    <w:rsid w:val="0081579D"/>
    <w:rsid w:val="008161DE"/>
    <w:rsid w:val="00816D9C"/>
    <w:rsid w:val="00816FA2"/>
    <w:rsid w:val="00817633"/>
    <w:rsid w:val="008177BF"/>
    <w:rsid w:val="00820029"/>
    <w:rsid w:val="00820832"/>
    <w:rsid w:val="00820E0F"/>
    <w:rsid w:val="00820F9D"/>
    <w:rsid w:val="00822C5B"/>
    <w:rsid w:val="00823D1E"/>
    <w:rsid w:val="008241AB"/>
    <w:rsid w:val="00824C3C"/>
    <w:rsid w:val="00824D85"/>
    <w:rsid w:val="0082533E"/>
    <w:rsid w:val="008257CD"/>
    <w:rsid w:val="00826529"/>
    <w:rsid w:val="00826908"/>
    <w:rsid w:val="00826B6D"/>
    <w:rsid w:val="00827756"/>
    <w:rsid w:val="00830924"/>
    <w:rsid w:val="008310A6"/>
    <w:rsid w:val="00831245"/>
    <w:rsid w:val="00832F29"/>
    <w:rsid w:val="00834775"/>
    <w:rsid w:val="00835281"/>
    <w:rsid w:val="0083560D"/>
    <w:rsid w:val="0083610B"/>
    <w:rsid w:val="00836216"/>
    <w:rsid w:val="0083640E"/>
    <w:rsid w:val="0083654F"/>
    <w:rsid w:val="00836A0E"/>
    <w:rsid w:val="00836C69"/>
    <w:rsid w:val="00837BAC"/>
    <w:rsid w:val="00837C90"/>
    <w:rsid w:val="0084060E"/>
    <w:rsid w:val="00840C2C"/>
    <w:rsid w:val="008413D8"/>
    <w:rsid w:val="008417C2"/>
    <w:rsid w:val="00841C46"/>
    <w:rsid w:val="00842387"/>
    <w:rsid w:val="00842915"/>
    <w:rsid w:val="00842A24"/>
    <w:rsid w:val="00843CE8"/>
    <w:rsid w:val="0084410A"/>
    <w:rsid w:val="00844787"/>
    <w:rsid w:val="00845163"/>
    <w:rsid w:val="008453AB"/>
    <w:rsid w:val="00845743"/>
    <w:rsid w:val="00845998"/>
    <w:rsid w:val="008472B1"/>
    <w:rsid w:val="00847575"/>
    <w:rsid w:val="008477AB"/>
    <w:rsid w:val="008478CD"/>
    <w:rsid w:val="008478FC"/>
    <w:rsid w:val="00847FF8"/>
    <w:rsid w:val="0085026E"/>
    <w:rsid w:val="00850EFA"/>
    <w:rsid w:val="008517A3"/>
    <w:rsid w:val="00852B6C"/>
    <w:rsid w:val="00852FA3"/>
    <w:rsid w:val="00855E07"/>
    <w:rsid w:val="008565A0"/>
    <w:rsid w:val="00856C2B"/>
    <w:rsid w:val="00860AAE"/>
    <w:rsid w:val="0086124A"/>
    <w:rsid w:val="008613B4"/>
    <w:rsid w:val="008616E8"/>
    <w:rsid w:val="0086256A"/>
    <w:rsid w:val="008644E1"/>
    <w:rsid w:val="00865589"/>
    <w:rsid w:val="00867862"/>
    <w:rsid w:val="008703E6"/>
    <w:rsid w:val="00870FAA"/>
    <w:rsid w:val="00871848"/>
    <w:rsid w:val="00871B6A"/>
    <w:rsid w:val="00871CB5"/>
    <w:rsid w:val="00874D71"/>
    <w:rsid w:val="008751AF"/>
    <w:rsid w:val="008776C6"/>
    <w:rsid w:val="00881835"/>
    <w:rsid w:val="008821E3"/>
    <w:rsid w:val="00884C28"/>
    <w:rsid w:val="00884D64"/>
    <w:rsid w:val="00885C20"/>
    <w:rsid w:val="00885FD3"/>
    <w:rsid w:val="00887837"/>
    <w:rsid w:val="00887CD4"/>
    <w:rsid w:val="00890545"/>
    <w:rsid w:val="00890863"/>
    <w:rsid w:val="00890C43"/>
    <w:rsid w:val="00891188"/>
    <w:rsid w:val="00891CCA"/>
    <w:rsid w:val="0089300A"/>
    <w:rsid w:val="00893011"/>
    <w:rsid w:val="0089328A"/>
    <w:rsid w:val="00893B98"/>
    <w:rsid w:val="0089492C"/>
    <w:rsid w:val="00894DBF"/>
    <w:rsid w:val="00896312"/>
    <w:rsid w:val="00896B8A"/>
    <w:rsid w:val="008A26E7"/>
    <w:rsid w:val="008A28C6"/>
    <w:rsid w:val="008A3204"/>
    <w:rsid w:val="008A38AC"/>
    <w:rsid w:val="008A666F"/>
    <w:rsid w:val="008A72F9"/>
    <w:rsid w:val="008A7FE7"/>
    <w:rsid w:val="008B17F7"/>
    <w:rsid w:val="008B26BA"/>
    <w:rsid w:val="008B298C"/>
    <w:rsid w:val="008B3034"/>
    <w:rsid w:val="008B3A99"/>
    <w:rsid w:val="008B449A"/>
    <w:rsid w:val="008B4AD4"/>
    <w:rsid w:val="008C0825"/>
    <w:rsid w:val="008C0E5A"/>
    <w:rsid w:val="008C0FDF"/>
    <w:rsid w:val="008C106F"/>
    <w:rsid w:val="008C1CB6"/>
    <w:rsid w:val="008C26D8"/>
    <w:rsid w:val="008C32AA"/>
    <w:rsid w:val="008C3345"/>
    <w:rsid w:val="008C3E89"/>
    <w:rsid w:val="008C4946"/>
    <w:rsid w:val="008C509C"/>
    <w:rsid w:val="008C6555"/>
    <w:rsid w:val="008C72AA"/>
    <w:rsid w:val="008C73C0"/>
    <w:rsid w:val="008C78A4"/>
    <w:rsid w:val="008D0BE1"/>
    <w:rsid w:val="008D0ED8"/>
    <w:rsid w:val="008D1D7C"/>
    <w:rsid w:val="008D1EF3"/>
    <w:rsid w:val="008D232C"/>
    <w:rsid w:val="008D2673"/>
    <w:rsid w:val="008D27A3"/>
    <w:rsid w:val="008D3347"/>
    <w:rsid w:val="008D3EFE"/>
    <w:rsid w:val="008D611B"/>
    <w:rsid w:val="008D6344"/>
    <w:rsid w:val="008D6B79"/>
    <w:rsid w:val="008D7474"/>
    <w:rsid w:val="008D751D"/>
    <w:rsid w:val="008D76CA"/>
    <w:rsid w:val="008E0614"/>
    <w:rsid w:val="008E0E11"/>
    <w:rsid w:val="008E15FB"/>
    <w:rsid w:val="008E4279"/>
    <w:rsid w:val="008E43EE"/>
    <w:rsid w:val="008E4A97"/>
    <w:rsid w:val="008E54A2"/>
    <w:rsid w:val="008E5F02"/>
    <w:rsid w:val="008E6682"/>
    <w:rsid w:val="008E6D09"/>
    <w:rsid w:val="008E6F59"/>
    <w:rsid w:val="008E7EA7"/>
    <w:rsid w:val="008F005D"/>
    <w:rsid w:val="008F02F9"/>
    <w:rsid w:val="008F14C3"/>
    <w:rsid w:val="008F1F1B"/>
    <w:rsid w:val="008F2A21"/>
    <w:rsid w:val="008F333A"/>
    <w:rsid w:val="008F3D27"/>
    <w:rsid w:val="008F53B9"/>
    <w:rsid w:val="008F57D3"/>
    <w:rsid w:val="008F66AF"/>
    <w:rsid w:val="008F6E53"/>
    <w:rsid w:val="008F7276"/>
    <w:rsid w:val="008F7904"/>
    <w:rsid w:val="00900008"/>
    <w:rsid w:val="00900EFA"/>
    <w:rsid w:val="00901972"/>
    <w:rsid w:val="00901B88"/>
    <w:rsid w:val="0090247D"/>
    <w:rsid w:val="0090301A"/>
    <w:rsid w:val="00903C2C"/>
    <w:rsid w:val="00904C0A"/>
    <w:rsid w:val="00904C3D"/>
    <w:rsid w:val="009056CF"/>
    <w:rsid w:val="00905733"/>
    <w:rsid w:val="0090676C"/>
    <w:rsid w:val="00906A81"/>
    <w:rsid w:val="00907E4A"/>
    <w:rsid w:val="009108AB"/>
    <w:rsid w:val="00910EB0"/>
    <w:rsid w:val="00911C47"/>
    <w:rsid w:val="0091340D"/>
    <w:rsid w:val="0091381D"/>
    <w:rsid w:val="0091415C"/>
    <w:rsid w:val="0091482E"/>
    <w:rsid w:val="009149AE"/>
    <w:rsid w:val="00914D3A"/>
    <w:rsid w:val="00915E22"/>
    <w:rsid w:val="009163B6"/>
    <w:rsid w:val="00916569"/>
    <w:rsid w:val="00916E90"/>
    <w:rsid w:val="00916F12"/>
    <w:rsid w:val="00917966"/>
    <w:rsid w:val="00920478"/>
    <w:rsid w:val="00921865"/>
    <w:rsid w:val="0092192A"/>
    <w:rsid w:val="00923520"/>
    <w:rsid w:val="009237B6"/>
    <w:rsid w:val="00923887"/>
    <w:rsid w:val="009241DD"/>
    <w:rsid w:val="0092459C"/>
    <w:rsid w:val="00924A54"/>
    <w:rsid w:val="00924D53"/>
    <w:rsid w:val="00926124"/>
    <w:rsid w:val="00930ECA"/>
    <w:rsid w:val="0093210B"/>
    <w:rsid w:val="0093280D"/>
    <w:rsid w:val="00933C20"/>
    <w:rsid w:val="00933CBF"/>
    <w:rsid w:val="00934445"/>
    <w:rsid w:val="00935203"/>
    <w:rsid w:val="00935468"/>
    <w:rsid w:val="009359D3"/>
    <w:rsid w:val="00936D9D"/>
    <w:rsid w:val="009377A9"/>
    <w:rsid w:val="00937C53"/>
    <w:rsid w:val="009402F1"/>
    <w:rsid w:val="009407C3"/>
    <w:rsid w:val="00941C3F"/>
    <w:rsid w:val="00942164"/>
    <w:rsid w:val="00942F05"/>
    <w:rsid w:val="009436DE"/>
    <w:rsid w:val="00944002"/>
    <w:rsid w:val="00944D6C"/>
    <w:rsid w:val="0094533A"/>
    <w:rsid w:val="00945EFC"/>
    <w:rsid w:val="009469FF"/>
    <w:rsid w:val="00946B05"/>
    <w:rsid w:val="00950E2D"/>
    <w:rsid w:val="009515FD"/>
    <w:rsid w:val="0095195B"/>
    <w:rsid w:val="0095199D"/>
    <w:rsid w:val="00951CB7"/>
    <w:rsid w:val="009524A0"/>
    <w:rsid w:val="009533F0"/>
    <w:rsid w:val="009540EB"/>
    <w:rsid w:val="0095433E"/>
    <w:rsid w:val="00955E5D"/>
    <w:rsid w:val="0095651F"/>
    <w:rsid w:val="00956E21"/>
    <w:rsid w:val="0095777A"/>
    <w:rsid w:val="009577E5"/>
    <w:rsid w:val="009618F2"/>
    <w:rsid w:val="009619C7"/>
    <w:rsid w:val="009622AA"/>
    <w:rsid w:val="00962D35"/>
    <w:rsid w:val="00963F4A"/>
    <w:rsid w:val="009661C8"/>
    <w:rsid w:val="0096673C"/>
    <w:rsid w:val="00966BD6"/>
    <w:rsid w:val="00966F11"/>
    <w:rsid w:val="00967A0B"/>
    <w:rsid w:val="00967CDA"/>
    <w:rsid w:val="009704B5"/>
    <w:rsid w:val="00970C90"/>
    <w:rsid w:val="00970E7D"/>
    <w:rsid w:val="00970F9A"/>
    <w:rsid w:val="0097102A"/>
    <w:rsid w:val="00971FC4"/>
    <w:rsid w:val="00972421"/>
    <w:rsid w:val="00972596"/>
    <w:rsid w:val="00973089"/>
    <w:rsid w:val="00973973"/>
    <w:rsid w:val="00973B96"/>
    <w:rsid w:val="00974141"/>
    <w:rsid w:val="00974703"/>
    <w:rsid w:val="009753BF"/>
    <w:rsid w:val="0097688B"/>
    <w:rsid w:val="009769FD"/>
    <w:rsid w:val="00977062"/>
    <w:rsid w:val="009803E8"/>
    <w:rsid w:val="0098089C"/>
    <w:rsid w:val="00980F80"/>
    <w:rsid w:val="0098171F"/>
    <w:rsid w:val="00981AE0"/>
    <w:rsid w:val="0098253E"/>
    <w:rsid w:val="00982D6A"/>
    <w:rsid w:val="009833C7"/>
    <w:rsid w:val="009836B7"/>
    <w:rsid w:val="0098406F"/>
    <w:rsid w:val="009851B1"/>
    <w:rsid w:val="00987039"/>
    <w:rsid w:val="00991621"/>
    <w:rsid w:val="009916AC"/>
    <w:rsid w:val="009924C5"/>
    <w:rsid w:val="00994C29"/>
    <w:rsid w:val="0099561F"/>
    <w:rsid w:val="00996A38"/>
    <w:rsid w:val="009970B8"/>
    <w:rsid w:val="00997972"/>
    <w:rsid w:val="00997F5C"/>
    <w:rsid w:val="009A02FF"/>
    <w:rsid w:val="009A0539"/>
    <w:rsid w:val="009A1FE5"/>
    <w:rsid w:val="009A20E5"/>
    <w:rsid w:val="009A2D4F"/>
    <w:rsid w:val="009A2E56"/>
    <w:rsid w:val="009A3FF8"/>
    <w:rsid w:val="009A46E2"/>
    <w:rsid w:val="009A4FE7"/>
    <w:rsid w:val="009A5392"/>
    <w:rsid w:val="009A55C3"/>
    <w:rsid w:val="009A5AC2"/>
    <w:rsid w:val="009A651C"/>
    <w:rsid w:val="009A6973"/>
    <w:rsid w:val="009A782D"/>
    <w:rsid w:val="009A7D5D"/>
    <w:rsid w:val="009B16DD"/>
    <w:rsid w:val="009B17B7"/>
    <w:rsid w:val="009B2D06"/>
    <w:rsid w:val="009B2E52"/>
    <w:rsid w:val="009B3121"/>
    <w:rsid w:val="009B3717"/>
    <w:rsid w:val="009B42CB"/>
    <w:rsid w:val="009B435F"/>
    <w:rsid w:val="009B5DD9"/>
    <w:rsid w:val="009B7594"/>
    <w:rsid w:val="009C0E83"/>
    <w:rsid w:val="009C1075"/>
    <w:rsid w:val="009C3E57"/>
    <w:rsid w:val="009C52E1"/>
    <w:rsid w:val="009C5CFA"/>
    <w:rsid w:val="009C5F1A"/>
    <w:rsid w:val="009C63B1"/>
    <w:rsid w:val="009C70FD"/>
    <w:rsid w:val="009C7DBA"/>
    <w:rsid w:val="009D074D"/>
    <w:rsid w:val="009D0BE0"/>
    <w:rsid w:val="009D0EA5"/>
    <w:rsid w:val="009D231B"/>
    <w:rsid w:val="009D276A"/>
    <w:rsid w:val="009D2C4D"/>
    <w:rsid w:val="009D3156"/>
    <w:rsid w:val="009D3CE3"/>
    <w:rsid w:val="009D4F58"/>
    <w:rsid w:val="009D5F35"/>
    <w:rsid w:val="009D6751"/>
    <w:rsid w:val="009D6ACF"/>
    <w:rsid w:val="009D6DDC"/>
    <w:rsid w:val="009E082E"/>
    <w:rsid w:val="009E1165"/>
    <w:rsid w:val="009E20A7"/>
    <w:rsid w:val="009E25A7"/>
    <w:rsid w:val="009E51F1"/>
    <w:rsid w:val="009E5C25"/>
    <w:rsid w:val="009E5F3F"/>
    <w:rsid w:val="009F078F"/>
    <w:rsid w:val="009F0AD2"/>
    <w:rsid w:val="009F0CC8"/>
    <w:rsid w:val="009F0E30"/>
    <w:rsid w:val="009F0E53"/>
    <w:rsid w:val="009F19F4"/>
    <w:rsid w:val="009F2465"/>
    <w:rsid w:val="009F2EA8"/>
    <w:rsid w:val="009F3CD2"/>
    <w:rsid w:val="009F3D63"/>
    <w:rsid w:val="009F4321"/>
    <w:rsid w:val="009F451A"/>
    <w:rsid w:val="009F47C1"/>
    <w:rsid w:val="009F4880"/>
    <w:rsid w:val="009F5597"/>
    <w:rsid w:val="009F5B40"/>
    <w:rsid w:val="009F5BB1"/>
    <w:rsid w:val="009F5C39"/>
    <w:rsid w:val="009F76CC"/>
    <w:rsid w:val="00A00A6C"/>
    <w:rsid w:val="00A00A87"/>
    <w:rsid w:val="00A00E42"/>
    <w:rsid w:val="00A029E7"/>
    <w:rsid w:val="00A02BEE"/>
    <w:rsid w:val="00A02BF8"/>
    <w:rsid w:val="00A02D37"/>
    <w:rsid w:val="00A03E99"/>
    <w:rsid w:val="00A0522C"/>
    <w:rsid w:val="00A06E87"/>
    <w:rsid w:val="00A07E09"/>
    <w:rsid w:val="00A1081B"/>
    <w:rsid w:val="00A1096B"/>
    <w:rsid w:val="00A10BAA"/>
    <w:rsid w:val="00A11CDB"/>
    <w:rsid w:val="00A123C4"/>
    <w:rsid w:val="00A129A2"/>
    <w:rsid w:val="00A12A77"/>
    <w:rsid w:val="00A12C41"/>
    <w:rsid w:val="00A12DE9"/>
    <w:rsid w:val="00A1350A"/>
    <w:rsid w:val="00A13725"/>
    <w:rsid w:val="00A15BDF"/>
    <w:rsid w:val="00A162D7"/>
    <w:rsid w:val="00A16549"/>
    <w:rsid w:val="00A170FA"/>
    <w:rsid w:val="00A176AE"/>
    <w:rsid w:val="00A177FD"/>
    <w:rsid w:val="00A1795D"/>
    <w:rsid w:val="00A17FA2"/>
    <w:rsid w:val="00A214EE"/>
    <w:rsid w:val="00A21EEB"/>
    <w:rsid w:val="00A2325E"/>
    <w:rsid w:val="00A23C33"/>
    <w:rsid w:val="00A23F24"/>
    <w:rsid w:val="00A25201"/>
    <w:rsid w:val="00A27026"/>
    <w:rsid w:val="00A27523"/>
    <w:rsid w:val="00A31A42"/>
    <w:rsid w:val="00A31CBE"/>
    <w:rsid w:val="00A3231E"/>
    <w:rsid w:val="00A32397"/>
    <w:rsid w:val="00A32480"/>
    <w:rsid w:val="00A32D8A"/>
    <w:rsid w:val="00A36226"/>
    <w:rsid w:val="00A3732E"/>
    <w:rsid w:val="00A37E36"/>
    <w:rsid w:val="00A4005B"/>
    <w:rsid w:val="00A40779"/>
    <w:rsid w:val="00A40DF3"/>
    <w:rsid w:val="00A41342"/>
    <w:rsid w:val="00A41B8B"/>
    <w:rsid w:val="00A41F26"/>
    <w:rsid w:val="00A4245E"/>
    <w:rsid w:val="00A429A8"/>
    <w:rsid w:val="00A430A0"/>
    <w:rsid w:val="00A446A4"/>
    <w:rsid w:val="00A44EF6"/>
    <w:rsid w:val="00A44FD1"/>
    <w:rsid w:val="00A46096"/>
    <w:rsid w:val="00A46D59"/>
    <w:rsid w:val="00A471FC"/>
    <w:rsid w:val="00A50E91"/>
    <w:rsid w:val="00A52B50"/>
    <w:rsid w:val="00A52EE2"/>
    <w:rsid w:val="00A531D4"/>
    <w:rsid w:val="00A53929"/>
    <w:rsid w:val="00A53A7D"/>
    <w:rsid w:val="00A54268"/>
    <w:rsid w:val="00A54EDA"/>
    <w:rsid w:val="00A54FB3"/>
    <w:rsid w:val="00A55766"/>
    <w:rsid w:val="00A5594B"/>
    <w:rsid w:val="00A569ED"/>
    <w:rsid w:val="00A56F8F"/>
    <w:rsid w:val="00A60179"/>
    <w:rsid w:val="00A6025F"/>
    <w:rsid w:val="00A6052D"/>
    <w:rsid w:val="00A60A53"/>
    <w:rsid w:val="00A60FE1"/>
    <w:rsid w:val="00A61053"/>
    <w:rsid w:val="00A6218D"/>
    <w:rsid w:val="00A62A66"/>
    <w:rsid w:val="00A62E96"/>
    <w:rsid w:val="00A63D64"/>
    <w:rsid w:val="00A6759F"/>
    <w:rsid w:val="00A71FA9"/>
    <w:rsid w:val="00A72467"/>
    <w:rsid w:val="00A743BD"/>
    <w:rsid w:val="00A74BF5"/>
    <w:rsid w:val="00A74C02"/>
    <w:rsid w:val="00A75042"/>
    <w:rsid w:val="00A755A3"/>
    <w:rsid w:val="00A75E95"/>
    <w:rsid w:val="00A75F19"/>
    <w:rsid w:val="00A76710"/>
    <w:rsid w:val="00A77000"/>
    <w:rsid w:val="00A800A2"/>
    <w:rsid w:val="00A80BFA"/>
    <w:rsid w:val="00A82821"/>
    <w:rsid w:val="00A82AC9"/>
    <w:rsid w:val="00A82D8A"/>
    <w:rsid w:val="00A82F81"/>
    <w:rsid w:val="00A83118"/>
    <w:rsid w:val="00A83577"/>
    <w:rsid w:val="00A84853"/>
    <w:rsid w:val="00A848F6"/>
    <w:rsid w:val="00A84916"/>
    <w:rsid w:val="00A85187"/>
    <w:rsid w:val="00A851DE"/>
    <w:rsid w:val="00A85E02"/>
    <w:rsid w:val="00A8681C"/>
    <w:rsid w:val="00A876CB"/>
    <w:rsid w:val="00A87850"/>
    <w:rsid w:val="00A901B7"/>
    <w:rsid w:val="00A90EBB"/>
    <w:rsid w:val="00A91D4F"/>
    <w:rsid w:val="00A93096"/>
    <w:rsid w:val="00A93B36"/>
    <w:rsid w:val="00A93FCF"/>
    <w:rsid w:val="00A94741"/>
    <w:rsid w:val="00A9510B"/>
    <w:rsid w:val="00A953A4"/>
    <w:rsid w:val="00A95960"/>
    <w:rsid w:val="00A989FC"/>
    <w:rsid w:val="00AA12EB"/>
    <w:rsid w:val="00AA1CC9"/>
    <w:rsid w:val="00AA2359"/>
    <w:rsid w:val="00AA33B6"/>
    <w:rsid w:val="00AA39BE"/>
    <w:rsid w:val="00AA4AE4"/>
    <w:rsid w:val="00AA54AB"/>
    <w:rsid w:val="00AA5638"/>
    <w:rsid w:val="00AA6680"/>
    <w:rsid w:val="00AA6D1A"/>
    <w:rsid w:val="00AB0363"/>
    <w:rsid w:val="00AB1155"/>
    <w:rsid w:val="00AB14C1"/>
    <w:rsid w:val="00AB317F"/>
    <w:rsid w:val="00AB34EC"/>
    <w:rsid w:val="00AB3A03"/>
    <w:rsid w:val="00AB3A64"/>
    <w:rsid w:val="00AB3EAC"/>
    <w:rsid w:val="00AB3F61"/>
    <w:rsid w:val="00AB4C54"/>
    <w:rsid w:val="00AB56BC"/>
    <w:rsid w:val="00AB5788"/>
    <w:rsid w:val="00AB5C2D"/>
    <w:rsid w:val="00AB5C63"/>
    <w:rsid w:val="00AB6C99"/>
    <w:rsid w:val="00AB6E5E"/>
    <w:rsid w:val="00AB7109"/>
    <w:rsid w:val="00AB73C4"/>
    <w:rsid w:val="00AB7856"/>
    <w:rsid w:val="00AC0098"/>
    <w:rsid w:val="00AC0125"/>
    <w:rsid w:val="00AC0F2A"/>
    <w:rsid w:val="00AC13B7"/>
    <w:rsid w:val="00AC1F3E"/>
    <w:rsid w:val="00AC2950"/>
    <w:rsid w:val="00AC2BE0"/>
    <w:rsid w:val="00AC3629"/>
    <w:rsid w:val="00AC3AD1"/>
    <w:rsid w:val="00AC3BB3"/>
    <w:rsid w:val="00AC3D80"/>
    <w:rsid w:val="00AC47CF"/>
    <w:rsid w:val="00AC4BD3"/>
    <w:rsid w:val="00AC4C3B"/>
    <w:rsid w:val="00AC5CBE"/>
    <w:rsid w:val="00AC618D"/>
    <w:rsid w:val="00AC6CCF"/>
    <w:rsid w:val="00AC7049"/>
    <w:rsid w:val="00AC7454"/>
    <w:rsid w:val="00AD158E"/>
    <w:rsid w:val="00AD21E3"/>
    <w:rsid w:val="00AD2A1D"/>
    <w:rsid w:val="00AD31B7"/>
    <w:rsid w:val="00AD3E0B"/>
    <w:rsid w:val="00AD4510"/>
    <w:rsid w:val="00AD451C"/>
    <w:rsid w:val="00AD4610"/>
    <w:rsid w:val="00AD4BB1"/>
    <w:rsid w:val="00AD5158"/>
    <w:rsid w:val="00AD5A12"/>
    <w:rsid w:val="00AD610A"/>
    <w:rsid w:val="00AD62F5"/>
    <w:rsid w:val="00AD6406"/>
    <w:rsid w:val="00AD66D3"/>
    <w:rsid w:val="00AD6CB1"/>
    <w:rsid w:val="00AD6E18"/>
    <w:rsid w:val="00AD7AC1"/>
    <w:rsid w:val="00AE0056"/>
    <w:rsid w:val="00AE06F1"/>
    <w:rsid w:val="00AE084E"/>
    <w:rsid w:val="00AE0EBD"/>
    <w:rsid w:val="00AE12F4"/>
    <w:rsid w:val="00AE2D60"/>
    <w:rsid w:val="00AE2F67"/>
    <w:rsid w:val="00AE35C6"/>
    <w:rsid w:val="00AE37B9"/>
    <w:rsid w:val="00AE3E18"/>
    <w:rsid w:val="00AE43DA"/>
    <w:rsid w:val="00AE44B7"/>
    <w:rsid w:val="00AE4901"/>
    <w:rsid w:val="00AE513A"/>
    <w:rsid w:val="00AE7092"/>
    <w:rsid w:val="00AE782E"/>
    <w:rsid w:val="00AF1605"/>
    <w:rsid w:val="00AF2AC2"/>
    <w:rsid w:val="00AF3249"/>
    <w:rsid w:val="00AF33BF"/>
    <w:rsid w:val="00AF388E"/>
    <w:rsid w:val="00AF3ABB"/>
    <w:rsid w:val="00AF3ACA"/>
    <w:rsid w:val="00AF3C3D"/>
    <w:rsid w:val="00AF5160"/>
    <w:rsid w:val="00AF5303"/>
    <w:rsid w:val="00AF536F"/>
    <w:rsid w:val="00AF56F0"/>
    <w:rsid w:val="00AF6D62"/>
    <w:rsid w:val="00B006B6"/>
    <w:rsid w:val="00B013C5"/>
    <w:rsid w:val="00B01482"/>
    <w:rsid w:val="00B01513"/>
    <w:rsid w:val="00B02DE9"/>
    <w:rsid w:val="00B02E06"/>
    <w:rsid w:val="00B02EB1"/>
    <w:rsid w:val="00B04F95"/>
    <w:rsid w:val="00B067D7"/>
    <w:rsid w:val="00B115C4"/>
    <w:rsid w:val="00B11DA1"/>
    <w:rsid w:val="00B12EED"/>
    <w:rsid w:val="00B13A08"/>
    <w:rsid w:val="00B13C88"/>
    <w:rsid w:val="00B149E5"/>
    <w:rsid w:val="00B14E61"/>
    <w:rsid w:val="00B152CC"/>
    <w:rsid w:val="00B15D31"/>
    <w:rsid w:val="00B16070"/>
    <w:rsid w:val="00B1655E"/>
    <w:rsid w:val="00B16F07"/>
    <w:rsid w:val="00B17A6F"/>
    <w:rsid w:val="00B17AB4"/>
    <w:rsid w:val="00B17B8D"/>
    <w:rsid w:val="00B20551"/>
    <w:rsid w:val="00B20F67"/>
    <w:rsid w:val="00B21CD4"/>
    <w:rsid w:val="00B2209F"/>
    <w:rsid w:val="00B2260F"/>
    <w:rsid w:val="00B238E9"/>
    <w:rsid w:val="00B23D47"/>
    <w:rsid w:val="00B25314"/>
    <w:rsid w:val="00B25E2E"/>
    <w:rsid w:val="00B26931"/>
    <w:rsid w:val="00B272B7"/>
    <w:rsid w:val="00B2751A"/>
    <w:rsid w:val="00B27AF3"/>
    <w:rsid w:val="00B300E2"/>
    <w:rsid w:val="00B30207"/>
    <w:rsid w:val="00B3052D"/>
    <w:rsid w:val="00B307E1"/>
    <w:rsid w:val="00B31214"/>
    <w:rsid w:val="00B31EF4"/>
    <w:rsid w:val="00B333F1"/>
    <w:rsid w:val="00B33821"/>
    <w:rsid w:val="00B33DE8"/>
    <w:rsid w:val="00B33FCC"/>
    <w:rsid w:val="00B3498B"/>
    <w:rsid w:val="00B34C68"/>
    <w:rsid w:val="00B353D9"/>
    <w:rsid w:val="00B35783"/>
    <w:rsid w:val="00B36D3C"/>
    <w:rsid w:val="00B373B4"/>
    <w:rsid w:val="00B37AE0"/>
    <w:rsid w:val="00B402F5"/>
    <w:rsid w:val="00B40628"/>
    <w:rsid w:val="00B41572"/>
    <w:rsid w:val="00B41D80"/>
    <w:rsid w:val="00B41EB2"/>
    <w:rsid w:val="00B422EF"/>
    <w:rsid w:val="00B42B56"/>
    <w:rsid w:val="00B43F70"/>
    <w:rsid w:val="00B44938"/>
    <w:rsid w:val="00B44E8A"/>
    <w:rsid w:val="00B454C1"/>
    <w:rsid w:val="00B45822"/>
    <w:rsid w:val="00B4696F"/>
    <w:rsid w:val="00B46A7C"/>
    <w:rsid w:val="00B50F34"/>
    <w:rsid w:val="00B52798"/>
    <w:rsid w:val="00B52B5F"/>
    <w:rsid w:val="00B5305D"/>
    <w:rsid w:val="00B54BE0"/>
    <w:rsid w:val="00B54C01"/>
    <w:rsid w:val="00B54D94"/>
    <w:rsid w:val="00B55142"/>
    <w:rsid w:val="00B55E8B"/>
    <w:rsid w:val="00B56CD9"/>
    <w:rsid w:val="00B57689"/>
    <w:rsid w:val="00B57DD2"/>
    <w:rsid w:val="00B57EBC"/>
    <w:rsid w:val="00B6040C"/>
    <w:rsid w:val="00B6151C"/>
    <w:rsid w:val="00B625A4"/>
    <w:rsid w:val="00B62670"/>
    <w:rsid w:val="00B627B5"/>
    <w:rsid w:val="00B62BD9"/>
    <w:rsid w:val="00B630BC"/>
    <w:rsid w:val="00B632BF"/>
    <w:rsid w:val="00B63622"/>
    <w:rsid w:val="00B63901"/>
    <w:rsid w:val="00B63EBA"/>
    <w:rsid w:val="00B63FB1"/>
    <w:rsid w:val="00B64079"/>
    <w:rsid w:val="00B649EF"/>
    <w:rsid w:val="00B66701"/>
    <w:rsid w:val="00B6682C"/>
    <w:rsid w:val="00B66D66"/>
    <w:rsid w:val="00B67565"/>
    <w:rsid w:val="00B67620"/>
    <w:rsid w:val="00B70898"/>
    <w:rsid w:val="00B70BA1"/>
    <w:rsid w:val="00B7114C"/>
    <w:rsid w:val="00B722A3"/>
    <w:rsid w:val="00B74133"/>
    <w:rsid w:val="00B741C4"/>
    <w:rsid w:val="00B75FB2"/>
    <w:rsid w:val="00B771A6"/>
    <w:rsid w:val="00B80893"/>
    <w:rsid w:val="00B80FE3"/>
    <w:rsid w:val="00B81BB2"/>
    <w:rsid w:val="00B83D1B"/>
    <w:rsid w:val="00B842CA"/>
    <w:rsid w:val="00B84369"/>
    <w:rsid w:val="00B8496D"/>
    <w:rsid w:val="00B85D2E"/>
    <w:rsid w:val="00B85EEA"/>
    <w:rsid w:val="00B8610D"/>
    <w:rsid w:val="00B867F4"/>
    <w:rsid w:val="00B869BE"/>
    <w:rsid w:val="00B86B9C"/>
    <w:rsid w:val="00B90C85"/>
    <w:rsid w:val="00B90D6B"/>
    <w:rsid w:val="00B91939"/>
    <w:rsid w:val="00B919F4"/>
    <w:rsid w:val="00B935A7"/>
    <w:rsid w:val="00B9367A"/>
    <w:rsid w:val="00B93CA1"/>
    <w:rsid w:val="00B93DAB"/>
    <w:rsid w:val="00B94DBB"/>
    <w:rsid w:val="00B95668"/>
    <w:rsid w:val="00B962EC"/>
    <w:rsid w:val="00B96808"/>
    <w:rsid w:val="00B9691F"/>
    <w:rsid w:val="00BA0622"/>
    <w:rsid w:val="00BA188B"/>
    <w:rsid w:val="00BA2EA7"/>
    <w:rsid w:val="00BA528B"/>
    <w:rsid w:val="00BA642D"/>
    <w:rsid w:val="00BA75F4"/>
    <w:rsid w:val="00BB1293"/>
    <w:rsid w:val="00BB1D7D"/>
    <w:rsid w:val="00BB27D7"/>
    <w:rsid w:val="00BB35EA"/>
    <w:rsid w:val="00BB4100"/>
    <w:rsid w:val="00BB4603"/>
    <w:rsid w:val="00BB4BE8"/>
    <w:rsid w:val="00BB5722"/>
    <w:rsid w:val="00BB5CB6"/>
    <w:rsid w:val="00BB5E31"/>
    <w:rsid w:val="00BB6BCD"/>
    <w:rsid w:val="00BB77A5"/>
    <w:rsid w:val="00BB7C67"/>
    <w:rsid w:val="00BC0322"/>
    <w:rsid w:val="00BC0A5E"/>
    <w:rsid w:val="00BC16F1"/>
    <w:rsid w:val="00BC220A"/>
    <w:rsid w:val="00BC27CD"/>
    <w:rsid w:val="00BC2ED1"/>
    <w:rsid w:val="00BC39A6"/>
    <w:rsid w:val="00BC3EB6"/>
    <w:rsid w:val="00BC4052"/>
    <w:rsid w:val="00BC4FBA"/>
    <w:rsid w:val="00BC553D"/>
    <w:rsid w:val="00BC60CE"/>
    <w:rsid w:val="00BC684D"/>
    <w:rsid w:val="00BC6AAB"/>
    <w:rsid w:val="00BC7BF2"/>
    <w:rsid w:val="00BD2465"/>
    <w:rsid w:val="00BD2986"/>
    <w:rsid w:val="00BD3638"/>
    <w:rsid w:val="00BD4242"/>
    <w:rsid w:val="00BD45DB"/>
    <w:rsid w:val="00BD6C7E"/>
    <w:rsid w:val="00BD7DA9"/>
    <w:rsid w:val="00BD7E9C"/>
    <w:rsid w:val="00BE013B"/>
    <w:rsid w:val="00BE027E"/>
    <w:rsid w:val="00BE0C84"/>
    <w:rsid w:val="00BE12EB"/>
    <w:rsid w:val="00BE268E"/>
    <w:rsid w:val="00BE29F7"/>
    <w:rsid w:val="00BE34F4"/>
    <w:rsid w:val="00BE3721"/>
    <w:rsid w:val="00BE3DF1"/>
    <w:rsid w:val="00BE4D65"/>
    <w:rsid w:val="00BE5282"/>
    <w:rsid w:val="00BE5424"/>
    <w:rsid w:val="00BE5CE0"/>
    <w:rsid w:val="00BE6541"/>
    <w:rsid w:val="00BE66B3"/>
    <w:rsid w:val="00BE6BB8"/>
    <w:rsid w:val="00BE6BC0"/>
    <w:rsid w:val="00BE7A09"/>
    <w:rsid w:val="00BE7FC2"/>
    <w:rsid w:val="00BF12E0"/>
    <w:rsid w:val="00BF1A05"/>
    <w:rsid w:val="00BF264A"/>
    <w:rsid w:val="00BF31BE"/>
    <w:rsid w:val="00BF45A6"/>
    <w:rsid w:val="00BF4BB9"/>
    <w:rsid w:val="00BF4CE8"/>
    <w:rsid w:val="00BF5379"/>
    <w:rsid w:val="00BF53C7"/>
    <w:rsid w:val="00BF5CD6"/>
    <w:rsid w:val="00BF6148"/>
    <w:rsid w:val="00BF61E5"/>
    <w:rsid w:val="00BF6B46"/>
    <w:rsid w:val="00BF6E0E"/>
    <w:rsid w:val="00BF707B"/>
    <w:rsid w:val="00BF761D"/>
    <w:rsid w:val="00BF7942"/>
    <w:rsid w:val="00C0035E"/>
    <w:rsid w:val="00C018F4"/>
    <w:rsid w:val="00C01B84"/>
    <w:rsid w:val="00C01FEB"/>
    <w:rsid w:val="00C02BED"/>
    <w:rsid w:val="00C03002"/>
    <w:rsid w:val="00C03158"/>
    <w:rsid w:val="00C031DA"/>
    <w:rsid w:val="00C03FF2"/>
    <w:rsid w:val="00C041D8"/>
    <w:rsid w:val="00C04F00"/>
    <w:rsid w:val="00C06BEE"/>
    <w:rsid w:val="00C06CB0"/>
    <w:rsid w:val="00C07CA4"/>
    <w:rsid w:val="00C10221"/>
    <w:rsid w:val="00C10F7D"/>
    <w:rsid w:val="00C11CF9"/>
    <w:rsid w:val="00C12DB4"/>
    <w:rsid w:val="00C137AD"/>
    <w:rsid w:val="00C13A1A"/>
    <w:rsid w:val="00C13DCB"/>
    <w:rsid w:val="00C15003"/>
    <w:rsid w:val="00C152D6"/>
    <w:rsid w:val="00C1540B"/>
    <w:rsid w:val="00C15C4E"/>
    <w:rsid w:val="00C17441"/>
    <w:rsid w:val="00C1798F"/>
    <w:rsid w:val="00C20D0B"/>
    <w:rsid w:val="00C223BC"/>
    <w:rsid w:val="00C24497"/>
    <w:rsid w:val="00C24709"/>
    <w:rsid w:val="00C24A37"/>
    <w:rsid w:val="00C24CE9"/>
    <w:rsid w:val="00C252EE"/>
    <w:rsid w:val="00C25648"/>
    <w:rsid w:val="00C257A2"/>
    <w:rsid w:val="00C25957"/>
    <w:rsid w:val="00C26B82"/>
    <w:rsid w:val="00C26DC4"/>
    <w:rsid w:val="00C26FBA"/>
    <w:rsid w:val="00C27D26"/>
    <w:rsid w:val="00C32367"/>
    <w:rsid w:val="00C32F7F"/>
    <w:rsid w:val="00C32FB5"/>
    <w:rsid w:val="00C33B26"/>
    <w:rsid w:val="00C34087"/>
    <w:rsid w:val="00C346BB"/>
    <w:rsid w:val="00C34ADF"/>
    <w:rsid w:val="00C34BF6"/>
    <w:rsid w:val="00C34C42"/>
    <w:rsid w:val="00C3532B"/>
    <w:rsid w:val="00C36554"/>
    <w:rsid w:val="00C3677E"/>
    <w:rsid w:val="00C368BE"/>
    <w:rsid w:val="00C37065"/>
    <w:rsid w:val="00C370FA"/>
    <w:rsid w:val="00C37C6F"/>
    <w:rsid w:val="00C37CAD"/>
    <w:rsid w:val="00C37CFD"/>
    <w:rsid w:val="00C37F33"/>
    <w:rsid w:val="00C40F3A"/>
    <w:rsid w:val="00C42D01"/>
    <w:rsid w:val="00C509EB"/>
    <w:rsid w:val="00C53899"/>
    <w:rsid w:val="00C53E2F"/>
    <w:rsid w:val="00C54476"/>
    <w:rsid w:val="00C55014"/>
    <w:rsid w:val="00C556F5"/>
    <w:rsid w:val="00C561A7"/>
    <w:rsid w:val="00C56219"/>
    <w:rsid w:val="00C56428"/>
    <w:rsid w:val="00C569A8"/>
    <w:rsid w:val="00C56EBA"/>
    <w:rsid w:val="00C57547"/>
    <w:rsid w:val="00C60962"/>
    <w:rsid w:val="00C6107D"/>
    <w:rsid w:val="00C611F2"/>
    <w:rsid w:val="00C63B0C"/>
    <w:rsid w:val="00C63E72"/>
    <w:rsid w:val="00C64A69"/>
    <w:rsid w:val="00C65A7F"/>
    <w:rsid w:val="00C65BB8"/>
    <w:rsid w:val="00C65BCC"/>
    <w:rsid w:val="00C66EC2"/>
    <w:rsid w:val="00C67D46"/>
    <w:rsid w:val="00C70143"/>
    <w:rsid w:val="00C72B41"/>
    <w:rsid w:val="00C737E6"/>
    <w:rsid w:val="00C740C1"/>
    <w:rsid w:val="00C75A4E"/>
    <w:rsid w:val="00C75B4D"/>
    <w:rsid w:val="00C77937"/>
    <w:rsid w:val="00C800D6"/>
    <w:rsid w:val="00C82C44"/>
    <w:rsid w:val="00C842B2"/>
    <w:rsid w:val="00C84558"/>
    <w:rsid w:val="00C852A2"/>
    <w:rsid w:val="00C85C94"/>
    <w:rsid w:val="00C86234"/>
    <w:rsid w:val="00C87510"/>
    <w:rsid w:val="00C87B2F"/>
    <w:rsid w:val="00C87E34"/>
    <w:rsid w:val="00C90D14"/>
    <w:rsid w:val="00C91B1D"/>
    <w:rsid w:val="00C934F6"/>
    <w:rsid w:val="00C937EA"/>
    <w:rsid w:val="00C93E37"/>
    <w:rsid w:val="00C94A8D"/>
    <w:rsid w:val="00C963C2"/>
    <w:rsid w:val="00C96B71"/>
    <w:rsid w:val="00C96C75"/>
    <w:rsid w:val="00C9708D"/>
    <w:rsid w:val="00C9713F"/>
    <w:rsid w:val="00CA132D"/>
    <w:rsid w:val="00CA18A1"/>
    <w:rsid w:val="00CA2AC3"/>
    <w:rsid w:val="00CA2DAF"/>
    <w:rsid w:val="00CA301D"/>
    <w:rsid w:val="00CA3B7D"/>
    <w:rsid w:val="00CA3FFB"/>
    <w:rsid w:val="00CA431C"/>
    <w:rsid w:val="00CA454B"/>
    <w:rsid w:val="00CA490C"/>
    <w:rsid w:val="00CA4B14"/>
    <w:rsid w:val="00CA57E1"/>
    <w:rsid w:val="00CA653F"/>
    <w:rsid w:val="00CA673F"/>
    <w:rsid w:val="00CA6FAB"/>
    <w:rsid w:val="00CA732D"/>
    <w:rsid w:val="00CA7D85"/>
    <w:rsid w:val="00CB02AE"/>
    <w:rsid w:val="00CB0430"/>
    <w:rsid w:val="00CB06DE"/>
    <w:rsid w:val="00CB1100"/>
    <w:rsid w:val="00CB1D4F"/>
    <w:rsid w:val="00CB3166"/>
    <w:rsid w:val="00CB3B43"/>
    <w:rsid w:val="00CB46D9"/>
    <w:rsid w:val="00CB4D48"/>
    <w:rsid w:val="00CB53B0"/>
    <w:rsid w:val="00CB56C1"/>
    <w:rsid w:val="00CB5EE1"/>
    <w:rsid w:val="00CB6314"/>
    <w:rsid w:val="00CB6F18"/>
    <w:rsid w:val="00CB6F3A"/>
    <w:rsid w:val="00CB7BE8"/>
    <w:rsid w:val="00CB7EC7"/>
    <w:rsid w:val="00CC0611"/>
    <w:rsid w:val="00CC0BC2"/>
    <w:rsid w:val="00CC0C9A"/>
    <w:rsid w:val="00CC0D8A"/>
    <w:rsid w:val="00CC2BE2"/>
    <w:rsid w:val="00CC2D38"/>
    <w:rsid w:val="00CC3CB7"/>
    <w:rsid w:val="00CC4CDC"/>
    <w:rsid w:val="00CC4DEB"/>
    <w:rsid w:val="00CC52B0"/>
    <w:rsid w:val="00CC5DFC"/>
    <w:rsid w:val="00CC66F8"/>
    <w:rsid w:val="00CC7685"/>
    <w:rsid w:val="00CC7FA2"/>
    <w:rsid w:val="00CD065E"/>
    <w:rsid w:val="00CD0B5F"/>
    <w:rsid w:val="00CD1E18"/>
    <w:rsid w:val="00CD2D06"/>
    <w:rsid w:val="00CD345C"/>
    <w:rsid w:val="00CD424D"/>
    <w:rsid w:val="00CD46A4"/>
    <w:rsid w:val="00CD4875"/>
    <w:rsid w:val="00CD521A"/>
    <w:rsid w:val="00CD546D"/>
    <w:rsid w:val="00CD5696"/>
    <w:rsid w:val="00CD5A7B"/>
    <w:rsid w:val="00CD6245"/>
    <w:rsid w:val="00CD6F42"/>
    <w:rsid w:val="00CD7452"/>
    <w:rsid w:val="00CE03CB"/>
    <w:rsid w:val="00CE188E"/>
    <w:rsid w:val="00CE1F32"/>
    <w:rsid w:val="00CE327B"/>
    <w:rsid w:val="00CE3709"/>
    <w:rsid w:val="00CE3BF6"/>
    <w:rsid w:val="00CE4423"/>
    <w:rsid w:val="00CE4428"/>
    <w:rsid w:val="00CE50F8"/>
    <w:rsid w:val="00CE5815"/>
    <w:rsid w:val="00CE5E1B"/>
    <w:rsid w:val="00CE5FE9"/>
    <w:rsid w:val="00CE7B79"/>
    <w:rsid w:val="00CE7D15"/>
    <w:rsid w:val="00CF094A"/>
    <w:rsid w:val="00CF0B75"/>
    <w:rsid w:val="00CF0C6B"/>
    <w:rsid w:val="00CF1255"/>
    <w:rsid w:val="00CF1ACD"/>
    <w:rsid w:val="00CF2186"/>
    <w:rsid w:val="00CF2937"/>
    <w:rsid w:val="00CF340F"/>
    <w:rsid w:val="00CF3921"/>
    <w:rsid w:val="00CF474C"/>
    <w:rsid w:val="00CF5533"/>
    <w:rsid w:val="00CF5773"/>
    <w:rsid w:val="00CF6AFC"/>
    <w:rsid w:val="00CF70FB"/>
    <w:rsid w:val="00D006F7"/>
    <w:rsid w:val="00D00DEE"/>
    <w:rsid w:val="00D01933"/>
    <w:rsid w:val="00D02130"/>
    <w:rsid w:val="00D0330D"/>
    <w:rsid w:val="00D033DE"/>
    <w:rsid w:val="00D03728"/>
    <w:rsid w:val="00D03B0A"/>
    <w:rsid w:val="00D03B7D"/>
    <w:rsid w:val="00D03BC3"/>
    <w:rsid w:val="00D03DB0"/>
    <w:rsid w:val="00D044DD"/>
    <w:rsid w:val="00D047C6"/>
    <w:rsid w:val="00D048A7"/>
    <w:rsid w:val="00D0570C"/>
    <w:rsid w:val="00D05EB3"/>
    <w:rsid w:val="00D0647C"/>
    <w:rsid w:val="00D06806"/>
    <w:rsid w:val="00D079F7"/>
    <w:rsid w:val="00D10702"/>
    <w:rsid w:val="00D11C48"/>
    <w:rsid w:val="00D1282D"/>
    <w:rsid w:val="00D13089"/>
    <w:rsid w:val="00D1373A"/>
    <w:rsid w:val="00D13853"/>
    <w:rsid w:val="00D13C41"/>
    <w:rsid w:val="00D13E15"/>
    <w:rsid w:val="00D13FD9"/>
    <w:rsid w:val="00D145AE"/>
    <w:rsid w:val="00D15AD2"/>
    <w:rsid w:val="00D163B5"/>
    <w:rsid w:val="00D16CBF"/>
    <w:rsid w:val="00D16E18"/>
    <w:rsid w:val="00D20588"/>
    <w:rsid w:val="00D2092B"/>
    <w:rsid w:val="00D20967"/>
    <w:rsid w:val="00D211E5"/>
    <w:rsid w:val="00D21FCC"/>
    <w:rsid w:val="00D22825"/>
    <w:rsid w:val="00D2330B"/>
    <w:rsid w:val="00D23D5E"/>
    <w:rsid w:val="00D25C3D"/>
    <w:rsid w:val="00D25CB8"/>
    <w:rsid w:val="00D25DD3"/>
    <w:rsid w:val="00D26264"/>
    <w:rsid w:val="00D272EF"/>
    <w:rsid w:val="00D27366"/>
    <w:rsid w:val="00D30645"/>
    <w:rsid w:val="00D32AB7"/>
    <w:rsid w:val="00D32B34"/>
    <w:rsid w:val="00D32D29"/>
    <w:rsid w:val="00D33650"/>
    <w:rsid w:val="00D34DFA"/>
    <w:rsid w:val="00D3501E"/>
    <w:rsid w:val="00D36CB3"/>
    <w:rsid w:val="00D37952"/>
    <w:rsid w:val="00D37A26"/>
    <w:rsid w:val="00D37F74"/>
    <w:rsid w:val="00D4037D"/>
    <w:rsid w:val="00D40F17"/>
    <w:rsid w:val="00D41180"/>
    <w:rsid w:val="00D41532"/>
    <w:rsid w:val="00D42427"/>
    <w:rsid w:val="00D44436"/>
    <w:rsid w:val="00D449EA"/>
    <w:rsid w:val="00D469E0"/>
    <w:rsid w:val="00D46F0C"/>
    <w:rsid w:val="00D473C8"/>
    <w:rsid w:val="00D476A2"/>
    <w:rsid w:val="00D478BF"/>
    <w:rsid w:val="00D47927"/>
    <w:rsid w:val="00D509E8"/>
    <w:rsid w:val="00D50CCD"/>
    <w:rsid w:val="00D51150"/>
    <w:rsid w:val="00D51EE5"/>
    <w:rsid w:val="00D53305"/>
    <w:rsid w:val="00D53B76"/>
    <w:rsid w:val="00D5457E"/>
    <w:rsid w:val="00D56911"/>
    <w:rsid w:val="00D601E5"/>
    <w:rsid w:val="00D60735"/>
    <w:rsid w:val="00D60E87"/>
    <w:rsid w:val="00D6126F"/>
    <w:rsid w:val="00D6148F"/>
    <w:rsid w:val="00D61EB8"/>
    <w:rsid w:val="00D6287B"/>
    <w:rsid w:val="00D63276"/>
    <w:rsid w:val="00D6362F"/>
    <w:rsid w:val="00D642FE"/>
    <w:rsid w:val="00D64322"/>
    <w:rsid w:val="00D6496F"/>
    <w:rsid w:val="00D64DB1"/>
    <w:rsid w:val="00D650B6"/>
    <w:rsid w:val="00D65A21"/>
    <w:rsid w:val="00D65E70"/>
    <w:rsid w:val="00D66420"/>
    <w:rsid w:val="00D673B3"/>
    <w:rsid w:val="00D67C9D"/>
    <w:rsid w:val="00D67F8D"/>
    <w:rsid w:val="00D70C8A"/>
    <w:rsid w:val="00D70CF5"/>
    <w:rsid w:val="00D70E47"/>
    <w:rsid w:val="00D70F12"/>
    <w:rsid w:val="00D7128D"/>
    <w:rsid w:val="00D714EA"/>
    <w:rsid w:val="00D71B0C"/>
    <w:rsid w:val="00D726B5"/>
    <w:rsid w:val="00D7279E"/>
    <w:rsid w:val="00D72FC7"/>
    <w:rsid w:val="00D737F7"/>
    <w:rsid w:val="00D73A7A"/>
    <w:rsid w:val="00D74F1E"/>
    <w:rsid w:val="00D752ED"/>
    <w:rsid w:val="00D802FA"/>
    <w:rsid w:val="00D8071C"/>
    <w:rsid w:val="00D82422"/>
    <w:rsid w:val="00D826BA"/>
    <w:rsid w:val="00D8324A"/>
    <w:rsid w:val="00D838AB"/>
    <w:rsid w:val="00D83DD5"/>
    <w:rsid w:val="00D842A2"/>
    <w:rsid w:val="00D84798"/>
    <w:rsid w:val="00D85048"/>
    <w:rsid w:val="00D85BBC"/>
    <w:rsid w:val="00D86531"/>
    <w:rsid w:val="00D872AD"/>
    <w:rsid w:val="00D87A73"/>
    <w:rsid w:val="00D90216"/>
    <w:rsid w:val="00D90408"/>
    <w:rsid w:val="00D91800"/>
    <w:rsid w:val="00D922DB"/>
    <w:rsid w:val="00D9238B"/>
    <w:rsid w:val="00D92516"/>
    <w:rsid w:val="00D92AC2"/>
    <w:rsid w:val="00D9370C"/>
    <w:rsid w:val="00D93E01"/>
    <w:rsid w:val="00D94303"/>
    <w:rsid w:val="00D94914"/>
    <w:rsid w:val="00D94B03"/>
    <w:rsid w:val="00D94F9C"/>
    <w:rsid w:val="00D953DE"/>
    <w:rsid w:val="00D9694D"/>
    <w:rsid w:val="00D96AD0"/>
    <w:rsid w:val="00D970A4"/>
    <w:rsid w:val="00D9744E"/>
    <w:rsid w:val="00D97F8B"/>
    <w:rsid w:val="00DA074C"/>
    <w:rsid w:val="00DA0B03"/>
    <w:rsid w:val="00DA111C"/>
    <w:rsid w:val="00DA1698"/>
    <w:rsid w:val="00DA1B3F"/>
    <w:rsid w:val="00DA1BEB"/>
    <w:rsid w:val="00DA25CA"/>
    <w:rsid w:val="00DA2724"/>
    <w:rsid w:val="00DA27A0"/>
    <w:rsid w:val="00DA28A8"/>
    <w:rsid w:val="00DA3F74"/>
    <w:rsid w:val="00DA52A8"/>
    <w:rsid w:val="00DA52E4"/>
    <w:rsid w:val="00DA60E4"/>
    <w:rsid w:val="00DA67F5"/>
    <w:rsid w:val="00DA6F12"/>
    <w:rsid w:val="00DA78D0"/>
    <w:rsid w:val="00DB09B0"/>
    <w:rsid w:val="00DB0E40"/>
    <w:rsid w:val="00DB1A41"/>
    <w:rsid w:val="00DB1E10"/>
    <w:rsid w:val="00DB2AFC"/>
    <w:rsid w:val="00DB2F24"/>
    <w:rsid w:val="00DB3F41"/>
    <w:rsid w:val="00DB5D77"/>
    <w:rsid w:val="00DB6025"/>
    <w:rsid w:val="00DB6063"/>
    <w:rsid w:val="00DB62CE"/>
    <w:rsid w:val="00DB65A9"/>
    <w:rsid w:val="00DB65D5"/>
    <w:rsid w:val="00DB7665"/>
    <w:rsid w:val="00DC00E0"/>
    <w:rsid w:val="00DC06AA"/>
    <w:rsid w:val="00DC06C9"/>
    <w:rsid w:val="00DC15B6"/>
    <w:rsid w:val="00DC1715"/>
    <w:rsid w:val="00DC4792"/>
    <w:rsid w:val="00DC4AA9"/>
    <w:rsid w:val="00DC5956"/>
    <w:rsid w:val="00DC5A0C"/>
    <w:rsid w:val="00DC5ACD"/>
    <w:rsid w:val="00DC67B1"/>
    <w:rsid w:val="00DC6DDC"/>
    <w:rsid w:val="00DC6F3B"/>
    <w:rsid w:val="00DC6FF2"/>
    <w:rsid w:val="00DC760B"/>
    <w:rsid w:val="00DC76E9"/>
    <w:rsid w:val="00DC785E"/>
    <w:rsid w:val="00DC7902"/>
    <w:rsid w:val="00DC7975"/>
    <w:rsid w:val="00DC7B46"/>
    <w:rsid w:val="00DC7B7F"/>
    <w:rsid w:val="00DD0AD7"/>
    <w:rsid w:val="00DD17B0"/>
    <w:rsid w:val="00DD17DF"/>
    <w:rsid w:val="00DD2B1F"/>
    <w:rsid w:val="00DD31A4"/>
    <w:rsid w:val="00DD35BA"/>
    <w:rsid w:val="00DD441C"/>
    <w:rsid w:val="00DD550D"/>
    <w:rsid w:val="00DD636C"/>
    <w:rsid w:val="00DD6BA8"/>
    <w:rsid w:val="00DD6CC9"/>
    <w:rsid w:val="00DD7605"/>
    <w:rsid w:val="00DD7DCB"/>
    <w:rsid w:val="00DD7F41"/>
    <w:rsid w:val="00DE016A"/>
    <w:rsid w:val="00DE02D6"/>
    <w:rsid w:val="00DE079C"/>
    <w:rsid w:val="00DE13E6"/>
    <w:rsid w:val="00DE19FF"/>
    <w:rsid w:val="00DE316C"/>
    <w:rsid w:val="00DE42D7"/>
    <w:rsid w:val="00DE4C59"/>
    <w:rsid w:val="00DE6B53"/>
    <w:rsid w:val="00DF02B2"/>
    <w:rsid w:val="00DF0497"/>
    <w:rsid w:val="00DF0AA0"/>
    <w:rsid w:val="00DF12B5"/>
    <w:rsid w:val="00DF15CF"/>
    <w:rsid w:val="00DF2B3A"/>
    <w:rsid w:val="00DF3B01"/>
    <w:rsid w:val="00DF4908"/>
    <w:rsid w:val="00DF5BE1"/>
    <w:rsid w:val="00DF6E98"/>
    <w:rsid w:val="00DF79C4"/>
    <w:rsid w:val="00DF7DE8"/>
    <w:rsid w:val="00E002E1"/>
    <w:rsid w:val="00E00EDE"/>
    <w:rsid w:val="00E01D43"/>
    <w:rsid w:val="00E01FF3"/>
    <w:rsid w:val="00E02399"/>
    <w:rsid w:val="00E02D99"/>
    <w:rsid w:val="00E043F3"/>
    <w:rsid w:val="00E050D3"/>
    <w:rsid w:val="00E05105"/>
    <w:rsid w:val="00E05125"/>
    <w:rsid w:val="00E05A81"/>
    <w:rsid w:val="00E06441"/>
    <w:rsid w:val="00E06F7B"/>
    <w:rsid w:val="00E0703E"/>
    <w:rsid w:val="00E07BEF"/>
    <w:rsid w:val="00E07DE5"/>
    <w:rsid w:val="00E10345"/>
    <w:rsid w:val="00E10901"/>
    <w:rsid w:val="00E10FBE"/>
    <w:rsid w:val="00E120AE"/>
    <w:rsid w:val="00E13E57"/>
    <w:rsid w:val="00E140B3"/>
    <w:rsid w:val="00E140F9"/>
    <w:rsid w:val="00E14188"/>
    <w:rsid w:val="00E1485B"/>
    <w:rsid w:val="00E15A7E"/>
    <w:rsid w:val="00E15B10"/>
    <w:rsid w:val="00E15BD4"/>
    <w:rsid w:val="00E15BE1"/>
    <w:rsid w:val="00E1613C"/>
    <w:rsid w:val="00E16E22"/>
    <w:rsid w:val="00E17BEB"/>
    <w:rsid w:val="00E17C00"/>
    <w:rsid w:val="00E203EA"/>
    <w:rsid w:val="00E214DA"/>
    <w:rsid w:val="00E22B19"/>
    <w:rsid w:val="00E23D98"/>
    <w:rsid w:val="00E23DF9"/>
    <w:rsid w:val="00E2407D"/>
    <w:rsid w:val="00E26074"/>
    <w:rsid w:val="00E26604"/>
    <w:rsid w:val="00E279C1"/>
    <w:rsid w:val="00E301D9"/>
    <w:rsid w:val="00E311B2"/>
    <w:rsid w:val="00E3199B"/>
    <w:rsid w:val="00E31F70"/>
    <w:rsid w:val="00E3283B"/>
    <w:rsid w:val="00E342A2"/>
    <w:rsid w:val="00E34583"/>
    <w:rsid w:val="00E35279"/>
    <w:rsid w:val="00E36177"/>
    <w:rsid w:val="00E36659"/>
    <w:rsid w:val="00E378D9"/>
    <w:rsid w:val="00E37E5E"/>
    <w:rsid w:val="00E37FC1"/>
    <w:rsid w:val="00E40998"/>
    <w:rsid w:val="00E41791"/>
    <w:rsid w:val="00E41C5C"/>
    <w:rsid w:val="00E422CE"/>
    <w:rsid w:val="00E433BC"/>
    <w:rsid w:val="00E44EEF"/>
    <w:rsid w:val="00E45071"/>
    <w:rsid w:val="00E45CD6"/>
    <w:rsid w:val="00E45E56"/>
    <w:rsid w:val="00E46874"/>
    <w:rsid w:val="00E46EDB"/>
    <w:rsid w:val="00E473CA"/>
    <w:rsid w:val="00E52F34"/>
    <w:rsid w:val="00E53361"/>
    <w:rsid w:val="00E5357B"/>
    <w:rsid w:val="00E53F86"/>
    <w:rsid w:val="00E54620"/>
    <w:rsid w:val="00E54702"/>
    <w:rsid w:val="00E559BF"/>
    <w:rsid w:val="00E55A1F"/>
    <w:rsid w:val="00E5742A"/>
    <w:rsid w:val="00E577FC"/>
    <w:rsid w:val="00E57D56"/>
    <w:rsid w:val="00E6243D"/>
    <w:rsid w:val="00E62A97"/>
    <w:rsid w:val="00E62F07"/>
    <w:rsid w:val="00E641AA"/>
    <w:rsid w:val="00E64CAA"/>
    <w:rsid w:val="00E654AC"/>
    <w:rsid w:val="00E65636"/>
    <w:rsid w:val="00E65946"/>
    <w:rsid w:val="00E6620F"/>
    <w:rsid w:val="00E666AC"/>
    <w:rsid w:val="00E669A4"/>
    <w:rsid w:val="00E66B38"/>
    <w:rsid w:val="00E66BC5"/>
    <w:rsid w:val="00E6761B"/>
    <w:rsid w:val="00E67680"/>
    <w:rsid w:val="00E67E0A"/>
    <w:rsid w:val="00E716A6"/>
    <w:rsid w:val="00E71727"/>
    <w:rsid w:val="00E71922"/>
    <w:rsid w:val="00E71D72"/>
    <w:rsid w:val="00E72D9D"/>
    <w:rsid w:val="00E7325A"/>
    <w:rsid w:val="00E732C5"/>
    <w:rsid w:val="00E74748"/>
    <w:rsid w:val="00E7547A"/>
    <w:rsid w:val="00E757B1"/>
    <w:rsid w:val="00E75858"/>
    <w:rsid w:val="00E804F1"/>
    <w:rsid w:val="00E80639"/>
    <w:rsid w:val="00E81167"/>
    <w:rsid w:val="00E81BB2"/>
    <w:rsid w:val="00E8395F"/>
    <w:rsid w:val="00E8432C"/>
    <w:rsid w:val="00E84BFA"/>
    <w:rsid w:val="00E85638"/>
    <w:rsid w:val="00E8563E"/>
    <w:rsid w:val="00E86353"/>
    <w:rsid w:val="00E8666D"/>
    <w:rsid w:val="00E87873"/>
    <w:rsid w:val="00E87CAC"/>
    <w:rsid w:val="00E9008F"/>
    <w:rsid w:val="00E90AFE"/>
    <w:rsid w:val="00E911E5"/>
    <w:rsid w:val="00E92D52"/>
    <w:rsid w:val="00E9315F"/>
    <w:rsid w:val="00E93518"/>
    <w:rsid w:val="00E93E90"/>
    <w:rsid w:val="00E94977"/>
    <w:rsid w:val="00E94F2F"/>
    <w:rsid w:val="00E960B8"/>
    <w:rsid w:val="00E962AF"/>
    <w:rsid w:val="00E962BF"/>
    <w:rsid w:val="00E96F38"/>
    <w:rsid w:val="00EA078F"/>
    <w:rsid w:val="00EA079F"/>
    <w:rsid w:val="00EA2108"/>
    <w:rsid w:val="00EA2427"/>
    <w:rsid w:val="00EA2648"/>
    <w:rsid w:val="00EA277A"/>
    <w:rsid w:val="00EA57AD"/>
    <w:rsid w:val="00EA7F5C"/>
    <w:rsid w:val="00EB03D1"/>
    <w:rsid w:val="00EB0E6A"/>
    <w:rsid w:val="00EB1163"/>
    <w:rsid w:val="00EB1F2E"/>
    <w:rsid w:val="00EB39F7"/>
    <w:rsid w:val="00EB40CC"/>
    <w:rsid w:val="00EB4DC6"/>
    <w:rsid w:val="00EB534C"/>
    <w:rsid w:val="00EB5C6D"/>
    <w:rsid w:val="00EB6239"/>
    <w:rsid w:val="00EB683F"/>
    <w:rsid w:val="00EB6F90"/>
    <w:rsid w:val="00EC0020"/>
    <w:rsid w:val="00EC0E7B"/>
    <w:rsid w:val="00EC1AC5"/>
    <w:rsid w:val="00EC2AAF"/>
    <w:rsid w:val="00EC2CA8"/>
    <w:rsid w:val="00EC394B"/>
    <w:rsid w:val="00EC399C"/>
    <w:rsid w:val="00EC3CB2"/>
    <w:rsid w:val="00EC4253"/>
    <w:rsid w:val="00EC5B16"/>
    <w:rsid w:val="00EC5B50"/>
    <w:rsid w:val="00EC60F2"/>
    <w:rsid w:val="00EC61F8"/>
    <w:rsid w:val="00EC69EE"/>
    <w:rsid w:val="00EC6CA9"/>
    <w:rsid w:val="00EC702D"/>
    <w:rsid w:val="00EC71AA"/>
    <w:rsid w:val="00EC720A"/>
    <w:rsid w:val="00EC7556"/>
    <w:rsid w:val="00ED03A4"/>
    <w:rsid w:val="00ED0BA0"/>
    <w:rsid w:val="00ED141B"/>
    <w:rsid w:val="00ED1759"/>
    <w:rsid w:val="00ED1ABC"/>
    <w:rsid w:val="00ED39B9"/>
    <w:rsid w:val="00ED408D"/>
    <w:rsid w:val="00ED4924"/>
    <w:rsid w:val="00ED4D08"/>
    <w:rsid w:val="00ED4DFD"/>
    <w:rsid w:val="00ED5503"/>
    <w:rsid w:val="00ED5B43"/>
    <w:rsid w:val="00ED6028"/>
    <w:rsid w:val="00ED671C"/>
    <w:rsid w:val="00EE052A"/>
    <w:rsid w:val="00EE32EF"/>
    <w:rsid w:val="00EE39AF"/>
    <w:rsid w:val="00EE3AA1"/>
    <w:rsid w:val="00EE4AE5"/>
    <w:rsid w:val="00EE4C4C"/>
    <w:rsid w:val="00EE4D8F"/>
    <w:rsid w:val="00EE5F12"/>
    <w:rsid w:val="00EE5FB5"/>
    <w:rsid w:val="00EE7273"/>
    <w:rsid w:val="00EE7564"/>
    <w:rsid w:val="00EE76D5"/>
    <w:rsid w:val="00EF031E"/>
    <w:rsid w:val="00EF0701"/>
    <w:rsid w:val="00EF0B5B"/>
    <w:rsid w:val="00EF1204"/>
    <w:rsid w:val="00EF1B2C"/>
    <w:rsid w:val="00EF2E4F"/>
    <w:rsid w:val="00EF33E7"/>
    <w:rsid w:val="00EF3CCC"/>
    <w:rsid w:val="00EF4E63"/>
    <w:rsid w:val="00EF54C4"/>
    <w:rsid w:val="00EF6476"/>
    <w:rsid w:val="00EF6BAE"/>
    <w:rsid w:val="00EF760A"/>
    <w:rsid w:val="00EF7805"/>
    <w:rsid w:val="00EF7C19"/>
    <w:rsid w:val="00EF7D11"/>
    <w:rsid w:val="00F03A24"/>
    <w:rsid w:val="00F03A74"/>
    <w:rsid w:val="00F03B11"/>
    <w:rsid w:val="00F045D4"/>
    <w:rsid w:val="00F04BDC"/>
    <w:rsid w:val="00F06245"/>
    <w:rsid w:val="00F0627D"/>
    <w:rsid w:val="00F070C2"/>
    <w:rsid w:val="00F0790C"/>
    <w:rsid w:val="00F07D9B"/>
    <w:rsid w:val="00F10A87"/>
    <w:rsid w:val="00F10DAE"/>
    <w:rsid w:val="00F13015"/>
    <w:rsid w:val="00F13932"/>
    <w:rsid w:val="00F16B6F"/>
    <w:rsid w:val="00F16C4B"/>
    <w:rsid w:val="00F16DEA"/>
    <w:rsid w:val="00F1733F"/>
    <w:rsid w:val="00F17846"/>
    <w:rsid w:val="00F20240"/>
    <w:rsid w:val="00F2073B"/>
    <w:rsid w:val="00F21202"/>
    <w:rsid w:val="00F218C7"/>
    <w:rsid w:val="00F21A98"/>
    <w:rsid w:val="00F21DF3"/>
    <w:rsid w:val="00F22725"/>
    <w:rsid w:val="00F24F0C"/>
    <w:rsid w:val="00F25891"/>
    <w:rsid w:val="00F25C92"/>
    <w:rsid w:val="00F25DC3"/>
    <w:rsid w:val="00F25E7B"/>
    <w:rsid w:val="00F26B06"/>
    <w:rsid w:val="00F30314"/>
    <w:rsid w:val="00F30AD8"/>
    <w:rsid w:val="00F31262"/>
    <w:rsid w:val="00F31B15"/>
    <w:rsid w:val="00F31C5A"/>
    <w:rsid w:val="00F31EC0"/>
    <w:rsid w:val="00F32B28"/>
    <w:rsid w:val="00F35A06"/>
    <w:rsid w:val="00F35ED8"/>
    <w:rsid w:val="00F36BB2"/>
    <w:rsid w:val="00F36CCF"/>
    <w:rsid w:val="00F36E96"/>
    <w:rsid w:val="00F37682"/>
    <w:rsid w:val="00F41D50"/>
    <w:rsid w:val="00F42AEB"/>
    <w:rsid w:val="00F4432D"/>
    <w:rsid w:val="00F44535"/>
    <w:rsid w:val="00F450A6"/>
    <w:rsid w:val="00F45151"/>
    <w:rsid w:val="00F45256"/>
    <w:rsid w:val="00F45B1F"/>
    <w:rsid w:val="00F4674E"/>
    <w:rsid w:val="00F46A1E"/>
    <w:rsid w:val="00F46A48"/>
    <w:rsid w:val="00F4769A"/>
    <w:rsid w:val="00F5096E"/>
    <w:rsid w:val="00F51E93"/>
    <w:rsid w:val="00F52519"/>
    <w:rsid w:val="00F52F84"/>
    <w:rsid w:val="00F5321F"/>
    <w:rsid w:val="00F533C2"/>
    <w:rsid w:val="00F5353E"/>
    <w:rsid w:val="00F5368F"/>
    <w:rsid w:val="00F53EA2"/>
    <w:rsid w:val="00F5603F"/>
    <w:rsid w:val="00F5613A"/>
    <w:rsid w:val="00F56369"/>
    <w:rsid w:val="00F56442"/>
    <w:rsid w:val="00F57BA8"/>
    <w:rsid w:val="00F60357"/>
    <w:rsid w:val="00F608BD"/>
    <w:rsid w:val="00F60C3F"/>
    <w:rsid w:val="00F60C91"/>
    <w:rsid w:val="00F60F76"/>
    <w:rsid w:val="00F61CF6"/>
    <w:rsid w:val="00F61E73"/>
    <w:rsid w:val="00F6214E"/>
    <w:rsid w:val="00F63128"/>
    <w:rsid w:val="00F633A2"/>
    <w:rsid w:val="00F638D5"/>
    <w:rsid w:val="00F638F3"/>
    <w:rsid w:val="00F639B2"/>
    <w:rsid w:val="00F64A92"/>
    <w:rsid w:val="00F65B06"/>
    <w:rsid w:val="00F65B49"/>
    <w:rsid w:val="00F677E3"/>
    <w:rsid w:val="00F67F91"/>
    <w:rsid w:val="00F70869"/>
    <w:rsid w:val="00F70F33"/>
    <w:rsid w:val="00F720E5"/>
    <w:rsid w:val="00F72669"/>
    <w:rsid w:val="00F74038"/>
    <w:rsid w:val="00F759E7"/>
    <w:rsid w:val="00F760B1"/>
    <w:rsid w:val="00F7640B"/>
    <w:rsid w:val="00F7652C"/>
    <w:rsid w:val="00F765AB"/>
    <w:rsid w:val="00F76EE7"/>
    <w:rsid w:val="00F77032"/>
    <w:rsid w:val="00F7719C"/>
    <w:rsid w:val="00F77F54"/>
    <w:rsid w:val="00F8015F"/>
    <w:rsid w:val="00F801FC"/>
    <w:rsid w:val="00F81837"/>
    <w:rsid w:val="00F8220F"/>
    <w:rsid w:val="00F826C4"/>
    <w:rsid w:val="00F82E47"/>
    <w:rsid w:val="00F83527"/>
    <w:rsid w:val="00F8470A"/>
    <w:rsid w:val="00F85D19"/>
    <w:rsid w:val="00F8666D"/>
    <w:rsid w:val="00F867AF"/>
    <w:rsid w:val="00F86B69"/>
    <w:rsid w:val="00F87048"/>
    <w:rsid w:val="00F90087"/>
    <w:rsid w:val="00F903BB"/>
    <w:rsid w:val="00F90597"/>
    <w:rsid w:val="00F911B8"/>
    <w:rsid w:val="00F91FC3"/>
    <w:rsid w:val="00F92C12"/>
    <w:rsid w:val="00F92E40"/>
    <w:rsid w:val="00F92F19"/>
    <w:rsid w:val="00F937E0"/>
    <w:rsid w:val="00F9396F"/>
    <w:rsid w:val="00F939E1"/>
    <w:rsid w:val="00F93AE5"/>
    <w:rsid w:val="00F940F4"/>
    <w:rsid w:val="00F9453D"/>
    <w:rsid w:val="00F9481F"/>
    <w:rsid w:val="00F94B40"/>
    <w:rsid w:val="00F955D1"/>
    <w:rsid w:val="00F95B04"/>
    <w:rsid w:val="00F95FA8"/>
    <w:rsid w:val="00F9678A"/>
    <w:rsid w:val="00F96FBC"/>
    <w:rsid w:val="00F97378"/>
    <w:rsid w:val="00F97B8F"/>
    <w:rsid w:val="00F97F2E"/>
    <w:rsid w:val="00FA0DD0"/>
    <w:rsid w:val="00FA186D"/>
    <w:rsid w:val="00FA1E9C"/>
    <w:rsid w:val="00FA2545"/>
    <w:rsid w:val="00FA2A2E"/>
    <w:rsid w:val="00FA2E07"/>
    <w:rsid w:val="00FA2EAF"/>
    <w:rsid w:val="00FA434A"/>
    <w:rsid w:val="00FA4788"/>
    <w:rsid w:val="00FA4C8C"/>
    <w:rsid w:val="00FA641A"/>
    <w:rsid w:val="00FA675F"/>
    <w:rsid w:val="00FA6BDF"/>
    <w:rsid w:val="00FA6DD8"/>
    <w:rsid w:val="00FA782B"/>
    <w:rsid w:val="00FA7855"/>
    <w:rsid w:val="00FA7920"/>
    <w:rsid w:val="00FA79F5"/>
    <w:rsid w:val="00FB271A"/>
    <w:rsid w:val="00FB47B5"/>
    <w:rsid w:val="00FB49C7"/>
    <w:rsid w:val="00FB49EF"/>
    <w:rsid w:val="00FB5D91"/>
    <w:rsid w:val="00FB65FA"/>
    <w:rsid w:val="00FB72C3"/>
    <w:rsid w:val="00FB7885"/>
    <w:rsid w:val="00FC16BF"/>
    <w:rsid w:val="00FC179E"/>
    <w:rsid w:val="00FC1989"/>
    <w:rsid w:val="00FC1BF8"/>
    <w:rsid w:val="00FC257E"/>
    <w:rsid w:val="00FC3024"/>
    <w:rsid w:val="00FC35A6"/>
    <w:rsid w:val="00FC38AB"/>
    <w:rsid w:val="00FC439F"/>
    <w:rsid w:val="00FC4F24"/>
    <w:rsid w:val="00FC5988"/>
    <w:rsid w:val="00FC5F3C"/>
    <w:rsid w:val="00FC76C1"/>
    <w:rsid w:val="00FD0125"/>
    <w:rsid w:val="00FD031C"/>
    <w:rsid w:val="00FD09E1"/>
    <w:rsid w:val="00FD0AEF"/>
    <w:rsid w:val="00FD0E98"/>
    <w:rsid w:val="00FD17E7"/>
    <w:rsid w:val="00FD219D"/>
    <w:rsid w:val="00FD3242"/>
    <w:rsid w:val="00FD389B"/>
    <w:rsid w:val="00FD3A55"/>
    <w:rsid w:val="00FD446F"/>
    <w:rsid w:val="00FD47EF"/>
    <w:rsid w:val="00FD4BFB"/>
    <w:rsid w:val="00FD5438"/>
    <w:rsid w:val="00FD6885"/>
    <w:rsid w:val="00FD741D"/>
    <w:rsid w:val="00FD776D"/>
    <w:rsid w:val="00FD7872"/>
    <w:rsid w:val="00FD78CA"/>
    <w:rsid w:val="00FE0617"/>
    <w:rsid w:val="00FE098D"/>
    <w:rsid w:val="00FE432C"/>
    <w:rsid w:val="00FE4F8F"/>
    <w:rsid w:val="00FE58AC"/>
    <w:rsid w:val="00FE5ACE"/>
    <w:rsid w:val="00FE5C94"/>
    <w:rsid w:val="00FE5D05"/>
    <w:rsid w:val="00FE5E36"/>
    <w:rsid w:val="00FE6A9F"/>
    <w:rsid w:val="00FE6C74"/>
    <w:rsid w:val="00FE75BD"/>
    <w:rsid w:val="00FE7C21"/>
    <w:rsid w:val="00FF042D"/>
    <w:rsid w:val="00FF0495"/>
    <w:rsid w:val="00FF04E4"/>
    <w:rsid w:val="00FF0697"/>
    <w:rsid w:val="00FF2FD9"/>
    <w:rsid w:val="00FF30EC"/>
    <w:rsid w:val="00FF34B4"/>
    <w:rsid w:val="00FF3524"/>
    <w:rsid w:val="00FF4896"/>
    <w:rsid w:val="00FF4A76"/>
    <w:rsid w:val="00FF4EAD"/>
    <w:rsid w:val="00FF52F8"/>
    <w:rsid w:val="00FF5752"/>
    <w:rsid w:val="00FF5B13"/>
    <w:rsid w:val="00FF5F9F"/>
    <w:rsid w:val="00FF67A3"/>
    <w:rsid w:val="00FF6C51"/>
    <w:rsid w:val="0101AC31"/>
    <w:rsid w:val="010CC311"/>
    <w:rsid w:val="01299845"/>
    <w:rsid w:val="0169CA96"/>
    <w:rsid w:val="017D756F"/>
    <w:rsid w:val="01B78FA1"/>
    <w:rsid w:val="01C85B10"/>
    <w:rsid w:val="01D14705"/>
    <w:rsid w:val="01DD79F0"/>
    <w:rsid w:val="01DE163F"/>
    <w:rsid w:val="02108A54"/>
    <w:rsid w:val="023A9CF6"/>
    <w:rsid w:val="02426561"/>
    <w:rsid w:val="025862F1"/>
    <w:rsid w:val="02A7EB21"/>
    <w:rsid w:val="02B59B8B"/>
    <w:rsid w:val="02DC5095"/>
    <w:rsid w:val="02E132A8"/>
    <w:rsid w:val="02EB3096"/>
    <w:rsid w:val="0312317C"/>
    <w:rsid w:val="031B5050"/>
    <w:rsid w:val="034654D2"/>
    <w:rsid w:val="035210CA"/>
    <w:rsid w:val="0367C411"/>
    <w:rsid w:val="03977B40"/>
    <w:rsid w:val="03D1EB5C"/>
    <w:rsid w:val="03D7D113"/>
    <w:rsid w:val="03E8E576"/>
    <w:rsid w:val="040440AC"/>
    <w:rsid w:val="04111A3E"/>
    <w:rsid w:val="042FDC22"/>
    <w:rsid w:val="043CBF7F"/>
    <w:rsid w:val="0467DDBC"/>
    <w:rsid w:val="047A3A5E"/>
    <w:rsid w:val="04B0DFDC"/>
    <w:rsid w:val="04C2F854"/>
    <w:rsid w:val="04DC70C8"/>
    <w:rsid w:val="04E0234A"/>
    <w:rsid w:val="04F17934"/>
    <w:rsid w:val="0514BDD1"/>
    <w:rsid w:val="0519454A"/>
    <w:rsid w:val="0547476D"/>
    <w:rsid w:val="05772DC4"/>
    <w:rsid w:val="057921A6"/>
    <w:rsid w:val="05B27998"/>
    <w:rsid w:val="05DB9C9B"/>
    <w:rsid w:val="0604B786"/>
    <w:rsid w:val="061411F3"/>
    <w:rsid w:val="06426202"/>
    <w:rsid w:val="064BB66E"/>
    <w:rsid w:val="067463C2"/>
    <w:rsid w:val="068B1928"/>
    <w:rsid w:val="07228E24"/>
    <w:rsid w:val="073606B5"/>
    <w:rsid w:val="073D66E6"/>
    <w:rsid w:val="074768E5"/>
    <w:rsid w:val="0759B957"/>
    <w:rsid w:val="07931BCA"/>
    <w:rsid w:val="07A77A59"/>
    <w:rsid w:val="07AEAE73"/>
    <w:rsid w:val="07F14B30"/>
    <w:rsid w:val="0802B822"/>
    <w:rsid w:val="080F7472"/>
    <w:rsid w:val="08507982"/>
    <w:rsid w:val="085DB867"/>
    <w:rsid w:val="08890B70"/>
    <w:rsid w:val="08C4E58F"/>
    <w:rsid w:val="08D62DF2"/>
    <w:rsid w:val="08E78F37"/>
    <w:rsid w:val="08E8649D"/>
    <w:rsid w:val="09148E1C"/>
    <w:rsid w:val="093498B2"/>
    <w:rsid w:val="096D103C"/>
    <w:rsid w:val="098E2E1F"/>
    <w:rsid w:val="09B1C896"/>
    <w:rsid w:val="09C65EFC"/>
    <w:rsid w:val="09D710FC"/>
    <w:rsid w:val="09E5E2B0"/>
    <w:rsid w:val="09EBFA80"/>
    <w:rsid w:val="0A10CDC6"/>
    <w:rsid w:val="0A115495"/>
    <w:rsid w:val="0A3A3DB0"/>
    <w:rsid w:val="0A5ACF07"/>
    <w:rsid w:val="0A5DA6CD"/>
    <w:rsid w:val="0A7F3FC6"/>
    <w:rsid w:val="0A8E1EBA"/>
    <w:rsid w:val="0AB4D19D"/>
    <w:rsid w:val="0ABA7B65"/>
    <w:rsid w:val="0AC85AA6"/>
    <w:rsid w:val="0ACCB141"/>
    <w:rsid w:val="0AE6DF03"/>
    <w:rsid w:val="0B06F0EB"/>
    <w:rsid w:val="0B18BCB7"/>
    <w:rsid w:val="0B1A6DB2"/>
    <w:rsid w:val="0B1B7DFD"/>
    <w:rsid w:val="0B3BFECA"/>
    <w:rsid w:val="0B5C3013"/>
    <w:rsid w:val="0B6BC685"/>
    <w:rsid w:val="0B77341C"/>
    <w:rsid w:val="0B7F9846"/>
    <w:rsid w:val="0B83FF55"/>
    <w:rsid w:val="0BA1D3E9"/>
    <w:rsid w:val="0BABD54A"/>
    <w:rsid w:val="0BCED3AB"/>
    <w:rsid w:val="0BD76935"/>
    <w:rsid w:val="0BE1B818"/>
    <w:rsid w:val="0BEFC52C"/>
    <w:rsid w:val="0BF1BD73"/>
    <w:rsid w:val="0C0DB8C4"/>
    <w:rsid w:val="0C115BE1"/>
    <w:rsid w:val="0C399AB2"/>
    <w:rsid w:val="0C41FF4A"/>
    <w:rsid w:val="0C90EAA5"/>
    <w:rsid w:val="0C91E79A"/>
    <w:rsid w:val="0CA7F611"/>
    <w:rsid w:val="0CAF439B"/>
    <w:rsid w:val="0CB3F935"/>
    <w:rsid w:val="0CF18B3F"/>
    <w:rsid w:val="0D0742FC"/>
    <w:rsid w:val="0D0D741B"/>
    <w:rsid w:val="0D221131"/>
    <w:rsid w:val="0D27390B"/>
    <w:rsid w:val="0D361EE6"/>
    <w:rsid w:val="0D3631CB"/>
    <w:rsid w:val="0D939DC4"/>
    <w:rsid w:val="0DD08EF9"/>
    <w:rsid w:val="0E06D947"/>
    <w:rsid w:val="0E2657E6"/>
    <w:rsid w:val="0E417955"/>
    <w:rsid w:val="0E4EC743"/>
    <w:rsid w:val="0E537C9A"/>
    <w:rsid w:val="0E56E219"/>
    <w:rsid w:val="0E61BE6E"/>
    <w:rsid w:val="0E6C3C45"/>
    <w:rsid w:val="0EA0BBB6"/>
    <w:rsid w:val="0EB3C4FE"/>
    <w:rsid w:val="0EDA3E6F"/>
    <w:rsid w:val="0EE1AF91"/>
    <w:rsid w:val="0EEC737E"/>
    <w:rsid w:val="0F066CD1"/>
    <w:rsid w:val="0F118276"/>
    <w:rsid w:val="0F1D834C"/>
    <w:rsid w:val="0F34B682"/>
    <w:rsid w:val="0F4E27D8"/>
    <w:rsid w:val="0F6E2239"/>
    <w:rsid w:val="0F6ECB87"/>
    <w:rsid w:val="0F75C307"/>
    <w:rsid w:val="0F7B0B4D"/>
    <w:rsid w:val="0F895265"/>
    <w:rsid w:val="0F8B86E2"/>
    <w:rsid w:val="0FAE736D"/>
    <w:rsid w:val="0FE3C2B3"/>
    <w:rsid w:val="0FE8E614"/>
    <w:rsid w:val="0FEA86DC"/>
    <w:rsid w:val="1002022C"/>
    <w:rsid w:val="1015F19E"/>
    <w:rsid w:val="101945E9"/>
    <w:rsid w:val="101C67E6"/>
    <w:rsid w:val="10E1268B"/>
    <w:rsid w:val="114AD0E9"/>
    <w:rsid w:val="114E1270"/>
    <w:rsid w:val="116AFBCF"/>
    <w:rsid w:val="116E2BC2"/>
    <w:rsid w:val="117CFA79"/>
    <w:rsid w:val="11A4B4CA"/>
    <w:rsid w:val="11BA0AD9"/>
    <w:rsid w:val="1234DEEC"/>
    <w:rsid w:val="12411C99"/>
    <w:rsid w:val="1253C8DB"/>
    <w:rsid w:val="126198F1"/>
    <w:rsid w:val="12635782"/>
    <w:rsid w:val="12660D5C"/>
    <w:rsid w:val="1269BC9D"/>
    <w:rsid w:val="12B21149"/>
    <w:rsid w:val="12D35DFF"/>
    <w:rsid w:val="130BEE8A"/>
    <w:rsid w:val="1348C9F4"/>
    <w:rsid w:val="1349A4B2"/>
    <w:rsid w:val="134BD2F9"/>
    <w:rsid w:val="1356F1A6"/>
    <w:rsid w:val="1379A8ED"/>
    <w:rsid w:val="137C0585"/>
    <w:rsid w:val="1381C8F9"/>
    <w:rsid w:val="138AB9BB"/>
    <w:rsid w:val="139543EC"/>
    <w:rsid w:val="139FD0E7"/>
    <w:rsid w:val="13A3C7EC"/>
    <w:rsid w:val="13B45B0B"/>
    <w:rsid w:val="13BACA7B"/>
    <w:rsid w:val="13BBF543"/>
    <w:rsid w:val="13BD5EBA"/>
    <w:rsid w:val="13C74D33"/>
    <w:rsid w:val="14067675"/>
    <w:rsid w:val="1438653A"/>
    <w:rsid w:val="146EBDC5"/>
    <w:rsid w:val="1478E7A2"/>
    <w:rsid w:val="1490695C"/>
    <w:rsid w:val="14DAB4C9"/>
    <w:rsid w:val="15112927"/>
    <w:rsid w:val="1532A332"/>
    <w:rsid w:val="153541EC"/>
    <w:rsid w:val="157E8BC7"/>
    <w:rsid w:val="15B3B323"/>
    <w:rsid w:val="15B53FD9"/>
    <w:rsid w:val="15C0A424"/>
    <w:rsid w:val="15C37F13"/>
    <w:rsid w:val="15E75254"/>
    <w:rsid w:val="1614BECA"/>
    <w:rsid w:val="162253EA"/>
    <w:rsid w:val="162297CB"/>
    <w:rsid w:val="162CC519"/>
    <w:rsid w:val="166C61CD"/>
    <w:rsid w:val="1689B033"/>
    <w:rsid w:val="169D3359"/>
    <w:rsid w:val="169F5E18"/>
    <w:rsid w:val="16AD3D5C"/>
    <w:rsid w:val="16AFC5D1"/>
    <w:rsid w:val="16D287A4"/>
    <w:rsid w:val="16DC213C"/>
    <w:rsid w:val="16ED5AFA"/>
    <w:rsid w:val="17113DD7"/>
    <w:rsid w:val="172B0A6A"/>
    <w:rsid w:val="1737C82D"/>
    <w:rsid w:val="1746F76F"/>
    <w:rsid w:val="17981FD4"/>
    <w:rsid w:val="17A25196"/>
    <w:rsid w:val="17C40D52"/>
    <w:rsid w:val="17CEBD44"/>
    <w:rsid w:val="17D0CD09"/>
    <w:rsid w:val="17E38098"/>
    <w:rsid w:val="17F79F06"/>
    <w:rsid w:val="180356ED"/>
    <w:rsid w:val="183CFAA4"/>
    <w:rsid w:val="184BCBBA"/>
    <w:rsid w:val="186A6FE3"/>
    <w:rsid w:val="18867A42"/>
    <w:rsid w:val="18A5372E"/>
    <w:rsid w:val="18C0E11C"/>
    <w:rsid w:val="18DBC192"/>
    <w:rsid w:val="18DD5A2B"/>
    <w:rsid w:val="18E18580"/>
    <w:rsid w:val="18EB264F"/>
    <w:rsid w:val="18F35884"/>
    <w:rsid w:val="18FD8139"/>
    <w:rsid w:val="1929278C"/>
    <w:rsid w:val="192AFF0E"/>
    <w:rsid w:val="194C3954"/>
    <w:rsid w:val="1986FB72"/>
    <w:rsid w:val="19A8BB98"/>
    <w:rsid w:val="19CC6E0B"/>
    <w:rsid w:val="1A0885C0"/>
    <w:rsid w:val="1A48233C"/>
    <w:rsid w:val="1A493A50"/>
    <w:rsid w:val="1A4BD414"/>
    <w:rsid w:val="1A5BC0D9"/>
    <w:rsid w:val="1A72AE2B"/>
    <w:rsid w:val="1A840F28"/>
    <w:rsid w:val="1A855BC3"/>
    <w:rsid w:val="1A9F58DC"/>
    <w:rsid w:val="1AB83090"/>
    <w:rsid w:val="1AFB0275"/>
    <w:rsid w:val="1B1B43E1"/>
    <w:rsid w:val="1B2EDA98"/>
    <w:rsid w:val="1B5EC17C"/>
    <w:rsid w:val="1B649C22"/>
    <w:rsid w:val="1B8321E8"/>
    <w:rsid w:val="1BA7B3E1"/>
    <w:rsid w:val="1BC81953"/>
    <w:rsid w:val="1BF624E5"/>
    <w:rsid w:val="1C1CDBD2"/>
    <w:rsid w:val="1C453BA1"/>
    <w:rsid w:val="1C4C7927"/>
    <w:rsid w:val="1C80CC84"/>
    <w:rsid w:val="1C85EE0B"/>
    <w:rsid w:val="1CACBED7"/>
    <w:rsid w:val="1CC694E4"/>
    <w:rsid w:val="1CCA1ABB"/>
    <w:rsid w:val="1CEE4C42"/>
    <w:rsid w:val="1CEEB710"/>
    <w:rsid w:val="1D10E260"/>
    <w:rsid w:val="1D3DE106"/>
    <w:rsid w:val="1D64B76A"/>
    <w:rsid w:val="1D6EF75E"/>
    <w:rsid w:val="1D7484D3"/>
    <w:rsid w:val="1D91CF30"/>
    <w:rsid w:val="1DB1904C"/>
    <w:rsid w:val="1DC4918B"/>
    <w:rsid w:val="1DCFEBF6"/>
    <w:rsid w:val="1DD91487"/>
    <w:rsid w:val="1DF94057"/>
    <w:rsid w:val="1E13A7DC"/>
    <w:rsid w:val="1E35E021"/>
    <w:rsid w:val="1E37CBD6"/>
    <w:rsid w:val="1E384FA1"/>
    <w:rsid w:val="1E76A7F0"/>
    <w:rsid w:val="1E7B2555"/>
    <w:rsid w:val="1E863677"/>
    <w:rsid w:val="1EB09483"/>
    <w:rsid w:val="1EBEFAD7"/>
    <w:rsid w:val="1ECDFA38"/>
    <w:rsid w:val="1ECFCBA3"/>
    <w:rsid w:val="1EF6709D"/>
    <w:rsid w:val="1F2C2F0C"/>
    <w:rsid w:val="1F54C66A"/>
    <w:rsid w:val="1F77D4AD"/>
    <w:rsid w:val="1F8B9914"/>
    <w:rsid w:val="1F970984"/>
    <w:rsid w:val="1FA997F1"/>
    <w:rsid w:val="1FB58472"/>
    <w:rsid w:val="1FCDBA05"/>
    <w:rsid w:val="2003A8F3"/>
    <w:rsid w:val="2022334E"/>
    <w:rsid w:val="2023DC9F"/>
    <w:rsid w:val="2064466E"/>
    <w:rsid w:val="20705412"/>
    <w:rsid w:val="20803B9A"/>
    <w:rsid w:val="209045A2"/>
    <w:rsid w:val="2093BF22"/>
    <w:rsid w:val="2099802C"/>
    <w:rsid w:val="20A64675"/>
    <w:rsid w:val="20CD6AD4"/>
    <w:rsid w:val="20F39A22"/>
    <w:rsid w:val="2117A161"/>
    <w:rsid w:val="2128267A"/>
    <w:rsid w:val="212FA3DA"/>
    <w:rsid w:val="21374860"/>
    <w:rsid w:val="2142A8AC"/>
    <w:rsid w:val="2145CAEA"/>
    <w:rsid w:val="21693BF7"/>
    <w:rsid w:val="21A45E4C"/>
    <w:rsid w:val="21B3D072"/>
    <w:rsid w:val="21BD75DC"/>
    <w:rsid w:val="21DA13A6"/>
    <w:rsid w:val="21E79EB1"/>
    <w:rsid w:val="21FDA48D"/>
    <w:rsid w:val="220EE073"/>
    <w:rsid w:val="220F2634"/>
    <w:rsid w:val="22311190"/>
    <w:rsid w:val="223521BA"/>
    <w:rsid w:val="226BBC0A"/>
    <w:rsid w:val="22DA1044"/>
    <w:rsid w:val="22DAA594"/>
    <w:rsid w:val="230508D0"/>
    <w:rsid w:val="230D6A36"/>
    <w:rsid w:val="230E31A4"/>
    <w:rsid w:val="2331E7E1"/>
    <w:rsid w:val="236AA217"/>
    <w:rsid w:val="23763E47"/>
    <w:rsid w:val="237B8AE1"/>
    <w:rsid w:val="2392DA9D"/>
    <w:rsid w:val="23CDA03D"/>
    <w:rsid w:val="23F5A7DE"/>
    <w:rsid w:val="241364FA"/>
    <w:rsid w:val="24140F65"/>
    <w:rsid w:val="241EEB20"/>
    <w:rsid w:val="2427E9B6"/>
    <w:rsid w:val="243D17B5"/>
    <w:rsid w:val="2441466A"/>
    <w:rsid w:val="244B11BA"/>
    <w:rsid w:val="2489DB9D"/>
    <w:rsid w:val="24BC2422"/>
    <w:rsid w:val="24BE0F5C"/>
    <w:rsid w:val="24D31BE5"/>
    <w:rsid w:val="24F31603"/>
    <w:rsid w:val="251A930C"/>
    <w:rsid w:val="2547E055"/>
    <w:rsid w:val="2576DA81"/>
    <w:rsid w:val="257E2589"/>
    <w:rsid w:val="2596DA16"/>
    <w:rsid w:val="259BF1C6"/>
    <w:rsid w:val="25AD3F36"/>
    <w:rsid w:val="25AFA66E"/>
    <w:rsid w:val="25B0C11C"/>
    <w:rsid w:val="25CB4BCB"/>
    <w:rsid w:val="25E3E48E"/>
    <w:rsid w:val="25FCFDAB"/>
    <w:rsid w:val="2633E9C8"/>
    <w:rsid w:val="2668AE17"/>
    <w:rsid w:val="26902A4C"/>
    <w:rsid w:val="26A90765"/>
    <w:rsid w:val="26B8988A"/>
    <w:rsid w:val="26C6F208"/>
    <w:rsid w:val="26F7C559"/>
    <w:rsid w:val="27139234"/>
    <w:rsid w:val="2713D157"/>
    <w:rsid w:val="274F33CC"/>
    <w:rsid w:val="2750EEFB"/>
    <w:rsid w:val="275D47A7"/>
    <w:rsid w:val="276235C8"/>
    <w:rsid w:val="276C8298"/>
    <w:rsid w:val="27E5777A"/>
    <w:rsid w:val="27FBD5A1"/>
    <w:rsid w:val="28395C8B"/>
    <w:rsid w:val="284299EE"/>
    <w:rsid w:val="28490A4E"/>
    <w:rsid w:val="284DEB5A"/>
    <w:rsid w:val="285BCFFF"/>
    <w:rsid w:val="28682320"/>
    <w:rsid w:val="286BB3EF"/>
    <w:rsid w:val="28DBBC6B"/>
    <w:rsid w:val="28FBB6F0"/>
    <w:rsid w:val="29031BA3"/>
    <w:rsid w:val="2909CA02"/>
    <w:rsid w:val="290EF291"/>
    <w:rsid w:val="294EC5BD"/>
    <w:rsid w:val="295DEF58"/>
    <w:rsid w:val="2969D9F1"/>
    <w:rsid w:val="299E9E67"/>
    <w:rsid w:val="29DB3D10"/>
    <w:rsid w:val="29EA2180"/>
    <w:rsid w:val="2A297DCF"/>
    <w:rsid w:val="2A5C2985"/>
    <w:rsid w:val="2A6F87CC"/>
    <w:rsid w:val="2A7BF85B"/>
    <w:rsid w:val="2A8F25E6"/>
    <w:rsid w:val="2AA83806"/>
    <w:rsid w:val="2AAD3C70"/>
    <w:rsid w:val="2AB9D32B"/>
    <w:rsid w:val="2B05E3FE"/>
    <w:rsid w:val="2B0A721B"/>
    <w:rsid w:val="2B22EF15"/>
    <w:rsid w:val="2B4B540C"/>
    <w:rsid w:val="2B52B1D7"/>
    <w:rsid w:val="2B5A9D13"/>
    <w:rsid w:val="2B68E22D"/>
    <w:rsid w:val="2B8D3162"/>
    <w:rsid w:val="2B94532F"/>
    <w:rsid w:val="2BD1E914"/>
    <w:rsid w:val="2BDF61ED"/>
    <w:rsid w:val="2BEB6C33"/>
    <w:rsid w:val="2C069E39"/>
    <w:rsid w:val="2C4D53DA"/>
    <w:rsid w:val="2C63CAD0"/>
    <w:rsid w:val="2C7F4DE7"/>
    <w:rsid w:val="2C83DC49"/>
    <w:rsid w:val="2C913030"/>
    <w:rsid w:val="2C96435F"/>
    <w:rsid w:val="2CC1350B"/>
    <w:rsid w:val="2CE580CD"/>
    <w:rsid w:val="2CF4AD0A"/>
    <w:rsid w:val="2CF9EC8B"/>
    <w:rsid w:val="2D1F25D3"/>
    <w:rsid w:val="2D236CA6"/>
    <w:rsid w:val="2D3A4DD6"/>
    <w:rsid w:val="2D4A59F9"/>
    <w:rsid w:val="2D662D8E"/>
    <w:rsid w:val="2D70E17B"/>
    <w:rsid w:val="2D9AE6FF"/>
    <w:rsid w:val="2DB0D73C"/>
    <w:rsid w:val="2DD133EA"/>
    <w:rsid w:val="2E09DD89"/>
    <w:rsid w:val="2E19882F"/>
    <w:rsid w:val="2E1F2CE4"/>
    <w:rsid w:val="2E2CCC05"/>
    <w:rsid w:val="2E332A25"/>
    <w:rsid w:val="2E588F08"/>
    <w:rsid w:val="2E75ED4A"/>
    <w:rsid w:val="2E818A9E"/>
    <w:rsid w:val="2EA0A21E"/>
    <w:rsid w:val="2EC0FBEB"/>
    <w:rsid w:val="2ED20EB7"/>
    <w:rsid w:val="2ED5BFFE"/>
    <w:rsid w:val="2EE1E67A"/>
    <w:rsid w:val="2EEC7E03"/>
    <w:rsid w:val="2EEF371C"/>
    <w:rsid w:val="2F020007"/>
    <w:rsid w:val="2F04DD17"/>
    <w:rsid w:val="2F277EE7"/>
    <w:rsid w:val="2F381B3C"/>
    <w:rsid w:val="2F43119F"/>
    <w:rsid w:val="2F4E0593"/>
    <w:rsid w:val="2F70EC78"/>
    <w:rsid w:val="2FA8D65F"/>
    <w:rsid w:val="2FCFE710"/>
    <w:rsid w:val="2FD7A91E"/>
    <w:rsid w:val="2FE3C9FA"/>
    <w:rsid w:val="2FED3917"/>
    <w:rsid w:val="2FED9F0A"/>
    <w:rsid w:val="301E8BE6"/>
    <w:rsid w:val="3036BF42"/>
    <w:rsid w:val="30402D8B"/>
    <w:rsid w:val="30575B30"/>
    <w:rsid w:val="305A4ACB"/>
    <w:rsid w:val="307CA423"/>
    <w:rsid w:val="308FDE07"/>
    <w:rsid w:val="30CE73B2"/>
    <w:rsid w:val="30F08B14"/>
    <w:rsid w:val="311BA0FD"/>
    <w:rsid w:val="311FDBCE"/>
    <w:rsid w:val="3127F97C"/>
    <w:rsid w:val="3131EC09"/>
    <w:rsid w:val="3137D03B"/>
    <w:rsid w:val="313A4FCD"/>
    <w:rsid w:val="3141C706"/>
    <w:rsid w:val="316E2D32"/>
    <w:rsid w:val="3170603A"/>
    <w:rsid w:val="31711EC4"/>
    <w:rsid w:val="31B0A89A"/>
    <w:rsid w:val="31C90761"/>
    <w:rsid w:val="31DF9D72"/>
    <w:rsid w:val="31FC4CC2"/>
    <w:rsid w:val="3210CCB9"/>
    <w:rsid w:val="32241B55"/>
    <w:rsid w:val="3237954E"/>
    <w:rsid w:val="3249256B"/>
    <w:rsid w:val="3251E41C"/>
    <w:rsid w:val="325F0EC9"/>
    <w:rsid w:val="326A02F0"/>
    <w:rsid w:val="328216E2"/>
    <w:rsid w:val="328A1333"/>
    <w:rsid w:val="3296ED68"/>
    <w:rsid w:val="32AA19B4"/>
    <w:rsid w:val="330A15B7"/>
    <w:rsid w:val="331A002D"/>
    <w:rsid w:val="3323CAC4"/>
    <w:rsid w:val="33336FE9"/>
    <w:rsid w:val="33486C15"/>
    <w:rsid w:val="3385F6D0"/>
    <w:rsid w:val="33A639C7"/>
    <w:rsid w:val="33B40778"/>
    <w:rsid w:val="33B64797"/>
    <w:rsid w:val="33CAC98D"/>
    <w:rsid w:val="33CB85CD"/>
    <w:rsid w:val="33D4AA9E"/>
    <w:rsid w:val="33EF0FEC"/>
    <w:rsid w:val="34099761"/>
    <w:rsid w:val="341D25B9"/>
    <w:rsid w:val="341D7FCA"/>
    <w:rsid w:val="3431ADF5"/>
    <w:rsid w:val="345E6149"/>
    <w:rsid w:val="3469B27C"/>
    <w:rsid w:val="3474211D"/>
    <w:rsid w:val="3478FC96"/>
    <w:rsid w:val="34B43471"/>
    <w:rsid w:val="34CA39D1"/>
    <w:rsid w:val="34CFEDFD"/>
    <w:rsid w:val="34E0D79C"/>
    <w:rsid w:val="34E41C56"/>
    <w:rsid w:val="350887CE"/>
    <w:rsid w:val="3541E773"/>
    <w:rsid w:val="354339C0"/>
    <w:rsid w:val="355ECD02"/>
    <w:rsid w:val="35606E4C"/>
    <w:rsid w:val="356CFCC2"/>
    <w:rsid w:val="35731005"/>
    <w:rsid w:val="358A6AA5"/>
    <w:rsid w:val="358A83F3"/>
    <w:rsid w:val="3591AEDA"/>
    <w:rsid w:val="35C611F1"/>
    <w:rsid w:val="35EA3D3F"/>
    <w:rsid w:val="35F044B9"/>
    <w:rsid w:val="35F65918"/>
    <w:rsid w:val="362DCD83"/>
    <w:rsid w:val="3630B276"/>
    <w:rsid w:val="365273B7"/>
    <w:rsid w:val="3668A299"/>
    <w:rsid w:val="3671A248"/>
    <w:rsid w:val="3674AEF4"/>
    <w:rsid w:val="36936700"/>
    <w:rsid w:val="36991747"/>
    <w:rsid w:val="36A08B0C"/>
    <w:rsid w:val="36A2A5D6"/>
    <w:rsid w:val="36B970CB"/>
    <w:rsid w:val="36D7D7BD"/>
    <w:rsid w:val="36F32844"/>
    <w:rsid w:val="36F7DC44"/>
    <w:rsid w:val="37222531"/>
    <w:rsid w:val="372BC932"/>
    <w:rsid w:val="3747CE83"/>
    <w:rsid w:val="37866F96"/>
    <w:rsid w:val="37BBF9AC"/>
    <w:rsid w:val="37FC3D8E"/>
    <w:rsid w:val="3811F4B2"/>
    <w:rsid w:val="382C3536"/>
    <w:rsid w:val="3842CDE1"/>
    <w:rsid w:val="38481A94"/>
    <w:rsid w:val="386F7A9E"/>
    <w:rsid w:val="3870E303"/>
    <w:rsid w:val="38A9CAB0"/>
    <w:rsid w:val="38AC8EB5"/>
    <w:rsid w:val="39192769"/>
    <w:rsid w:val="391A11AD"/>
    <w:rsid w:val="3930F017"/>
    <w:rsid w:val="39547FAE"/>
    <w:rsid w:val="3961DAA9"/>
    <w:rsid w:val="39817381"/>
    <w:rsid w:val="3984E9D3"/>
    <w:rsid w:val="39988980"/>
    <w:rsid w:val="39A2850D"/>
    <w:rsid w:val="39A4D73D"/>
    <w:rsid w:val="39F50BA0"/>
    <w:rsid w:val="3A1F6E91"/>
    <w:rsid w:val="3A251780"/>
    <w:rsid w:val="3A37343D"/>
    <w:rsid w:val="3A5436C3"/>
    <w:rsid w:val="3A54A534"/>
    <w:rsid w:val="3A5654A6"/>
    <w:rsid w:val="3A601FA6"/>
    <w:rsid w:val="3A73BC98"/>
    <w:rsid w:val="3A7A1CE1"/>
    <w:rsid w:val="3AB34864"/>
    <w:rsid w:val="3ACEC63C"/>
    <w:rsid w:val="3AE8C873"/>
    <w:rsid w:val="3B35DAE8"/>
    <w:rsid w:val="3B3E2E2B"/>
    <w:rsid w:val="3B60AB72"/>
    <w:rsid w:val="3B7E4C96"/>
    <w:rsid w:val="3B824848"/>
    <w:rsid w:val="3B9819F4"/>
    <w:rsid w:val="3BA7B41B"/>
    <w:rsid w:val="3BB84864"/>
    <w:rsid w:val="3BBBBDD7"/>
    <w:rsid w:val="3BDD124A"/>
    <w:rsid w:val="3C1A9D56"/>
    <w:rsid w:val="3C2D0FAB"/>
    <w:rsid w:val="3C47E1F7"/>
    <w:rsid w:val="3C497D20"/>
    <w:rsid w:val="3C63EDCD"/>
    <w:rsid w:val="3C7913EF"/>
    <w:rsid w:val="3C8580C7"/>
    <w:rsid w:val="3CA1A39E"/>
    <w:rsid w:val="3CB71322"/>
    <w:rsid w:val="3CC09B00"/>
    <w:rsid w:val="3CDB9E9F"/>
    <w:rsid w:val="3CDEF020"/>
    <w:rsid w:val="3D3D3E9C"/>
    <w:rsid w:val="3D46A0F9"/>
    <w:rsid w:val="3D55028D"/>
    <w:rsid w:val="3D86F230"/>
    <w:rsid w:val="3DA316AB"/>
    <w:rsid w:val="3DA6AC6A"/>
    <w:rsid w:val="3DFD391A"/>
    <w:rsid w:val="3E1EB599"/>
    <w:rsid w:val="3E3CD060"/>
    <w:rsid w:val="3E4873A1"/>
    <w:rsid w:val="3E492C4A"/>
    <w:rsid w:val="3E5D2473"/>
    <w:rsid w:val="3EC0549F"/>
    <w:rsid w:val="3EC462A2"/>
    <w:rsid w:val="3ED657E7"/>
    <w:rsid w:val="3EE1D0EF"/>
    <w:rsid w:val="3EECC3CA"/>
    <w:rsid w:val="3F13A505"/>
    <w:rsid w:val="3F17A33D"/>
    <w:rsid w:val="3F1F0243"/>
    <w:rsid w:val="3F9D1336"/>
    <w:rsid w:val="3FC206A5"/>
    <w:rsid w:val="3FC5234B"/>
    <w:rsid w:val="4001501D"/>
    <w:rsid w:val="4003A36F"/>
    <w:rsid w:val="402774B6"/>
    <w:rsid w:val="403A92DD"/>
    <w:rsid w:val="404A4752"/>
    <w:rsid w:val="405E50BA"/>
    <w:rsid w:val="4080DF3B"/>
    <w:rsid w:val="40C230BA"/>
    <w:rsid w:val="40D90A79"/>
    <w:rsid w:val="40E5D7C8"/>
    <w:rsid w:val="40EA5502"/>
    <w:rsid w:val="40F5AA66"/>
    <w:rsid w:val="413D2783"/>
    <w:rsid w:val="41520EF1"/>
    <w:rsid w:val="415CEC78"/>
    <w:rsid w:val="415FA4C2"/>
    <w:rsid w:val="418A7ABB"/>
    <w:rsid w:val="41B4B95C"/>
    <w:rsid w:val="41BBBF72"/>
    <w:rsid w:val="41C7BD62"/>
    <w:rsid w:val="41CAF817"/>
    <w:rsid w:val="41D58D08"/>
    <w:rsid w:val="41FD4DC5"/>
    <w:rsid w:val="42003A21"/>
    <w:rsid w:val="4246D8B9"/>
    <w:rsid w:val="4260087C"/>
    <w:rsid w:val="426436B4"/>
    <w:rsid w:val="42687E33"/>
    <w:rsid w:val="42757ADC"/>
    <w:rsid w:val="427E9316"/>
    <w:rsid w:val="42C046EC"/>
    <w:rsid w:val="42DE1469"/>
    <w:rsid w:val="42E2AF21"/>
    <w:rsid w:val="42EF4BDB"/>
    <w:rsid w:val="431072FD"/>
    <w:rsid w:val="43429046"/>
    <w:rsid w:val="43560737"/>
    <w:rsid w:val="43681EBE"/>
    <w:rsid w:val="4385BC7B"/>
    <w:rsid w:val="43A7E67F"/>
    <w:rsid w:val="43A83C77"/>
    <w:rsid w:val="43AA451E"/>
    <w:rsid w:val="43CEBA94"/>
    <w:rsid w:val="43F45575"/>
    <w:rsid w:val="440ADB91"/>
    <w:rsid w:val="4438FAEF"/>
    <w:rsid w:val="445639FF"/>
    <w:rsid w:val="445CF628"/>
    <w:rsid w:val="4468EBA2"/>
    <w:rsid w:val="4469C139"/>
    <w:rsid w:val="446F3101"/>
    <w:rsid w:val="44807BB9"/>
    <w:rsid w:val="4485ACD3"/>
    <w:rsid w:val="449079C3"/>
    <w:rsid w:val="450FD75D"/>
    <w:rsid w:val="4515B935"/>
    <w:rsid w:val="456B906C"/>
    <w:rsid w:val="458A16F6"/>
    <w:rsid w:val="45A9F371"/>
    <w:rsid w:val="45BA316E"/>
    <w:rsid w:val="45F73E11"/>
    <w:rsid w:val="4631FA31"/>
    <w:rsid w:val="46575F07"/>
    <w:rsid w:val="466C03CC"/>
    <w:rsid w:val="466E0159"/>
    <w:rsid w:val="4674FA9B"/>
    <w:rsid w:val="468630A4"/>
    <w:rsid w:val="469DDD0F"/>
    <w:rsid w:val="47079A33"/>
    <w:rsid w:val="470DA49D"/>
    <w:rsid w:val="4712C2E6"/>
    <w:rsid w:val="473E7F26"/>
    <w:rsid w:val="474629A8"/>
    <w:rsid w:val="474979D2"/>
    <w:rsid w:val="476A9739"/>
    <w:rsid w:val="478BEEB0"/>
    <w:rsid w:val="479955A7"/>
    <w:rsid w:val="479DD75B"/>
    <w:rsid w:val="47ADD086"/>
    <w:rsid w:val="47B059B5"/>
    <w:rsid w:val="47B44DF4"/>
    <w:rsid w:val="47BFC3E8"/>
    <w:rsid w:val="47DAC01B"/>
    <w:rsid w:val="47E7F5EF"/>
    <w:rsid w:val="481DC40F"/>
    <w:rsid w:val="4824F908"/>
    <w:rsid w:val="482717CD"/>
    <w:rsid w:val="487A8C53"/>
    <w:rsid w:val="488B71E9"/>
    <w:rsid w:val="489DB627"/>
    <w:rsid w:val="48B02BA1"/>
    <w:rsid w:val="48BC8A49"/>
    <w:rsid w:val="48BD9527"/>
    <w:rsid w:val="48DCB046"/>
    <w:rsid w:val="48EDD026"/>
    <w:rsid w:val="48F30D91"/>
    <w:rsid w:val="48FB312B"/>
    <w:rsid w:val="490EF607"/>
    <w:rsid w:val="491D9C2F"/>
    <w:rsid w:val="49238C9C"/>
    <w:rsid w:val="4931EB60"/>
    <w:rsid w:val="49339625"/>
    <w:rsid w:val="493A43F1"/>
    <w:rsid w:val="4957044A"/>
    <w:rsid w:val="4989D619"/>
    <w:rsid w:val="499975FA"/>
    <w:rsid w:val="499E289E"/>
    <w:rsid w:val="49CB2A45"/>
    <w:rsid w:val="49E2A582"/>
    <w:rsid w:val="49ECC9D0"/>
    <w:rsid w:val="49FE202A"/>
    <w:rsid w:val="4A0180D6"/>
    <w:rsid w:val="4A05FFB0"/>
    <w:rsid w:val="4A1E1929"/>
    <w:rsid w:val="4A26D5CB"/>
    <w:rsid w:val="4A3D8F4F"/>
    <w:rsid w:val="4A52B402"/>
    <w:rsid w:val="4A584295"/>
    <w:rsid w:val="4A609176"/>
    <w:rsid w:val="4AA4FFE6"/>
    <w:rsid w:val="4AB67140"/>
    <w:rsid w:val="4AC4A764"/>
    <w:rsid w:val="4B38A0BE"/>
    <w:rsid w:val="4B991BC3"/>
    <w:rsid w:val="4BA0373A"/>
    <w:rsid w:val="4BB39B6C"/>
    <w:rsid w:val="4BB3CDC0"/>
    <w:rsid w:val="4BD59A27"/>
    <w:rsid w:val="4BDB2AC0"/>
    <w:rsid w:val="4BFCBEF7"/>
    <w:rsid w:val="4C0A7CC6"/>
    <w:rsid w:val="4C15C1D1"/>
    <w:rsid w:val="4C4F4781"/>
    <w:rsid w:val="4C6C5B57"/>
    <w:rsid w:val="4C80AA69"/>
    <w:rsid w:val="4C86070F"/>
    <w:rsid w:val="4CA07ECD"/>
    <w:rsid w:val="4CB54BBA"/>
    <w:rsid w:val="4CD347CA"/>
    <w:rsid w:val="4CE2EFEB"/>
    <w:rsid w:val="4CF52BB3"/>
    <w:rsid w:val="4D8B988B"/>
    <w:rsid w:val="4DA87803"/>
    <w:rsid w:val="4DC60F82"/>
    <w:rsid w:val="4DE04DFE"/>
    <w:rsid w:val="4DF4677C"/>
    <w:rsid w:val="4E206250"/>
    <w:rsid w:val="4E398EB4"/>
    <w:rsid w:val="4E3D0E95"/>
    <w:rsid w:val="4E46E36A"/>
    <w:rsid w:val="4E4E44CC"/>
    <w:rsid w:val="4E52E5B0"/>
    <w:rsid w:val="4E53EED3"/>
    <w:rsid w:val="4E58EEBC"/>
    <w:rsid w:val="4E63E607"/>
    <w:rsid w:val="4E6D8262"/>
    <w:rsid w:val="4E83366F"/>
    <w:rsid w:val="4E86D2F1"/>
    <w:rsid w:val="4E98F26E"/>
    <w:rsid w:val="4E9FBBF2"/>
    <w:rsid w:val="4EADB6B6"/>
    <w:rsid w:val="4ECC7AA9"/>
    <w:rsid w:val="4ED41BDF"/>
    <w:rsid w:val="4ED68680"/>
    <w:rsid w:val="4F1ADBE8"/>
    <w:rsid w:val="4F3B6118"/>
    <w:rsid w:val="4F4C4DE1"/>
    <w:rsid w:val="4F4C5F25"/>
    <w:rsid w:val="4F7E4CFA"/>
    <w:rsid w:val="4F87B15B"/>
    <w:rsid w:val="4FA66599"/>
    <w:rsid w:val="4FC2AAE6"/>
    <w:rsid w:val="4FE54ACF"/>
    <w:rsid w:val="502433BF"/>
    <w:rsid w:val="504AFEFB"/>
    <w:rsid w:val="50522171"/>
    <w:rsid w:val="507007D1"/>
    <w:rsid w:val="5078A3A7"/>
    <w:rsid w:val="509DB63E"/>
    <w:rsid w:val="50C9A250"/>
    <w:rsid w:val="510070B8"/>
    <w:rsid w:val="51102C1A"/>
    <w:rsid w:val="51241048"/>
    <w:rsid w:val="51452E39"/>
    <w:rsid w:val="51526781"/>
    <w:rsid w:val="515E123E"/>
    <w:rsid w:val="516CF15F"/>
    <w:rsid w:val="5178373C"/>
    <w:rsid w:val="5189D1DB"/>
    <w:rsid w:val="518B5030"/>
    <w:rsid w:val="519743AB"/>
    <w:rsid w:val="51B575D7"/>
    <w:rsid w:val="51BC2C77"/>
    <w:rsid w:val="51D0E894"/>
    <w:rsid w:val="51EB70E6"/>
    <w:rsid w:val="52033D20"/>
    <w:rsid w:val="5208ACC4"/>
    <w:rsid w:val="520B9F6A"/>
    <w:rsid w:val="52204E79"/>
    <w:rsid w:val="525820C1"/>
    <w:rsid w:val="526F04C3"/>
    <w:rsid w:val="527DDB9D"/>
    <w:rsid w:val="52A97E6F"/>
    <w:rsid w:val="52C1FBD4"/>
    <w:rsid w:val="52C548D1"/>
    <w:rsid w:val="52CB73A0"/>
    <w:rsid w:val="52D07D75"/>
    <w:rsid w:val="52D1C8DB"/>
    <w:rsid w:val="52E2B172"/>
    <w:rsid w:val="5307D05E"/>
    <w:rsid w:val="5336E984"/>
    <w:rsid w:val="534BB75F"/>
    <w:rsid w:val="535BAFAE"/>
    <w:rsid w:val="5379678C"/>
    <w:rsid w:val="537BEE5B"/>
    <w:rsid w:val="538E9E6C"/>
    <w:rsid w:val="5395C78C"/>
    <w:rsid w:val="539CB90A"/>
    <w:rsid w:val="53A76FCB"/>
    <w:rsid w:val="53CF0A72"/>
    <w:rsid w:val="54130B23"/>
    <w:rsid w:val="54865550"/>
    <w:rsid w:val="54DFC40B"/>
    <w:rsid w:val="54F2BDAF"/>
    <w:rsid w:val="54F8A2E9"/>
    <w:rsid w:val="550A8311"/>
    <w:rsid w:val="553B0757"/>
    <w:rsid w:val="553F9D19"/>
    <w:rsid w:val="553FDE33"/>
    <w:rsid w:val="5548BE0B"/>
    <w:rsid w:val="556E9D7C"/>
    <w:rsid w:val="559A1649"/>
    <w:rsid w:val="55A904C2"/>
    <w:rsid w:val="55C4E160"/>
    <w:rsid w:val="55CD996E"/>
    <w:rsid w:val="55F850AF"/>
    <w:rsid w:val="56008110"/>
    <w:rsid w:val="56020B6A"/>
    <w:rsid w:val="56218465"/>
    <w:rsid w:val="5663CDC2"/>
    <w:rsid w:val="567889B5"/>
    <w:rsid w:val="56A5E946"/>
    <w:rsid w:val="5721613C"/>
    <w:rsid w:val="5731B79A"/>
    <w:rsid w:val="5742240B"/>
    <w:rsid w:val="574B9237"/>
    <w:rsid w:val="5752C4C5"/>
    <w:rsid w:val="576EEF09"/>
    <w:rsid w:val="5776EBBB"/>
    <w:rsid w:val="57BCB1BB"/>
    <w:rsid w:val="57BDD739"/>
    <w:rsid w:val="57C450E5"/>
    <w:rsid w:val="57CE670C"/>
    <w:rsid w:val="57D05091"/>
    <w:rsid w:val="57D6FF9B"/>
    <w:rsid w:val="580618E2"/>
    <w:rsid w:val="58520060"/>
    <w:rsid w:val="5871D77D"/>
    <w:rsid w:val="58A97FCB"/>
    <w:rsid w:val="58AE8C42"/>
    <w:rsid w:val="58B83F7D"/>
    <w:rsid w:val="58BE5890"/>
    <w:rsid w:val="58C90531"/>
    <w:rsid w:val="58CF7C79"/>
    <w:rsid w:val="58D785F4"/>
    <w:rsid w:val="58F1BB06"/>
    <w:rsid w:val="58F91E35"/>
    <w:rsid w:val="5906631C"/>
    <w:rsid w:val="591A7590"/>
    <w:rsid w:val="594928D6"/>
    <w:rsid w:val="59A737B0"/>
    <w:rsid w:val="59B3352E"/>
    <w:rsid w:val="59B35F4F"/>
    <w:rsid w:val="59B8CDF0"/>
    <w:rsid w:val="59C6A88A"/>
    <w:rsid w:val="59E0F0F3"/>
    <w:rsid w:val="59F98DCB"/>
    <w:rsid w:val="5A36F979"/>
    <w:rsid w:val="5A4647D6"/>
    <w:rsid w:val="5AC02252"/>
    <w:rsid w:val="5AC8D998"/>
    <w:rsid w:val="5B0A26C1"/>
    <w:rsid w:val="5B3DF8EA"/>
    <w:rsid w:val="5B5ED2B8"/>
    <w:rsid w:val="5B5EE3D3"/>
    <w:rsid w:val="5B6AE35E"/>
    <w:rsid w:val="5B708A2B"/>
    <w:rsid w:val="5B772307"/>
    <w:rsid w:val="5B987D2E"/>
    <w:rsid w:val="5BCA05A7"/>
    <w:rsid w:val="5BCD0711"/>
    <w:rsid w:val="5BD1A76B"/>
    <w:rsid w:val="5BD30E22"/>
    <w:rsid w:val="5C153D30"/>
    <w:rsid w:val="5C517CFF"/>
    <w:rsid w:val="5C672E32"/>
    <w:rsid w:val="5CF716B5"/>
    <w:rsid w:val="5D359477"/>
    <w:rsid w:val="5D37248C"/>
    <w:rsid w:val="5D414730"/>
    <w:rsid w:val="5D60EC4A"/>
    <w:rsid w:val="5D8090FB"/>
    <w:rsid w:val="5D89D22C"/>
    <w:rsid w:val="5D8A22CA"/>
    <w:rsid w:val="5D921A10"/>
    <w:rsid w:val="5DB3A210"/>
    <w:rsid w:val="5DB7C27F"/>
    <w:rsid w:val="5DD713D2"/>
    <w:rsid w:val="5E142495"/>
    <w:rsid w:val="5E3AE09E"/>
    <w:rsid w:val="5E402C96"/>
    <w:rsid w:val="5E7DFA34"/>
    <w:rsid w:val="5ECC34B8"/>
    <w:rsid w:val="5ED29E2A"/>
    <w:rsid w:val="5EEBE05A"/>
    <w:rsid w:val="5F065F6A"/>
    <w:rsid w:val="5F0FF6C2"/>
    <w:rsid w:val="5F1CCFD0"/>
    <w:rsid w:val="5F1DADAB"/>
    <w:rsid w:val="5F2E4744"/>
    <w:rsid w:val="5F4A6261"/>
    <w:rsid w:val="5F91C451"/>
    <w:rsid w:val="5FA52817"/>
    <w:rsid w:val="5FDB0345"/>
    <w:rsid w:val="5FDBB5C1"/>
    <w:rsid w:val="5FFF7E55"/>
    <w:rsid w:val="6002D996"/>
    <w:rsid w:val="60128234"/>
    <w:rsid w:val="6069A220"/>
    <w:rsid w:val="60882685"/>
    <w:rsid w:val="6099A888"/>
    <w:rsid w:val="60A0B144"/>
    <w:rsid w:val="60B06A9B"/>
    <w:rsid w:val="60E2ACD0"/>
    <w:rsid w:val="6103589B"/>
    <w:rsid w:val="611B192F"/>
    <w:rsid w:val="6167B5FF"/>
    <w:rsid w:val="6172224F"/>
    <w:rsid w:val="6210B9EF"/>
    <w:rsid w:val="621CA52F"/>
    <w:rsid w:val="6237036A"/>
    <w:rsid w:val="623F1A46"/>
    <w:rsid w:val="626A1894"/>
    <w:rsid w:val="62C9683C"/>
    <w:rsid w:val="62E2A8C4"/>
    <w:rsid w:val="63298CF4"/>
    <w:rsid w:val="632A80CC"/>
    <w:rsid w:val="63408660"/>
    <w:rsid w:val="634DF79E"/>
    <w:rsid w:val="6357FA7A"/>
    <w:rsid w:val="6365A06A"/>
    <w:rsid w:val="63A56787"/>
    <w:rsid w:val="63A970E1"/>
    <w:rsid w:val="63CD8B79"/>
    <w:rsid w:val="6416A474"/>
    <w:rsid w:val="6443B277"/>
    <w:rsid w:val="6451050B"/>
    <w:rsid w:val="6463F4C6"/>
    <w:rsid w:val="6473E42B"/>
    <w:rsid w:val="64ACAEFE"/>
    <w:rsid w:val="64B40443"/>
    <w:rsid w:val="64CA5230"/>
    <w:rsid w:val="64D7EB70"/>
    <w:rsid w:val="64F3CC81"/>
    <w:rsid w:val="64F769A7"/>
    <w:rsid w:val="652D7A1F"/>
    <w:rsid w:val="65388233"/>
    <w:rsid w:val="6539FE20"/>
    <w:rsid w:val="65576090"/>
    <w:rsid w:val="655890C6"/>
    <w:rsid w:val="656AC576"/>
    <w:rsid w:val="65706B8C"/>
    <w:rsid w:val="659C57A4"/>
    <w:rsid w:val="65BAB968"/>
    <w:rsid w:val="65C86FA2"/>
    <w:rsid w:val="65D78F37"/>
    <w:rsid w:val="65E8258B"/>
    <w:rsid w:val="6605B1F3"/>
    <w:rsid w:val="6635FF81"/>
    <w:rsid w:val="66651C87"/>
    <w:rsid w:val="66679DE6"/>
    <w:rsid w:val="667665DB"/>
    <w:rsid w:val="66992D19"/>
    <w:rsid w:val="66A3E307"/>
    <w:rsid w:val="66A8AF24"/>
    <w:rsid w:val="67457C68"/>
    <w:rsid w:val="6752E7CD"/>
    <w:rsid w:val="677F8135"/>
    <w:rsid w:val="6789CC56"/>
    <w:rsid w:val="679FF0AB"/>
    <w:rsid w:val="67B5FF64"/>
    <w:rsid w:val="67D05AF1"/>
    <w:rsid w:val="686A8998"/>
    <w:rsid w:val="686D78F1"/>
    <w:rsid w:val="689ED0BD"/>
    <w:rsid w:val="68A4C73A"/>
    <w:rsid w:val="68B2365F"/>
    <w:rsid w:val="68C74BE8"/>
    <w:rsid w:val="68D2A391"/>
    <w:rsid w:val="68D2F4D2"/>
    <w:rsid w:val="68D4EF5B"/>
    <w:rsid w:val="68D7A797"/>
    <w:rsid w:val="690BEA79"/>
    <w:rsid w:val="6910C4A2"/>
    <w:rsid w:val="6935E725"/>
    <w:rsid w:val="6958FCE5"/>
    <w:rsid w:val="6965A529"/>
    <w:rsid w:val="69CEA3B9"/>
    <w:rsid w:val="69E4D83B"/>
    <w:rsid w:val="69EDF237"/>
    <w:rsid w:val="69F39C5C"/>
    <w:rsid w:val="6A07A5AA"/>
    <w:rsid w:val="6A201CFF"/>
    <w:rsid w:val="6A5528BC"/>
    <w:rsid w:val="6A6A0704"/>
    <w:rsid w:val="6A7326B0"/>
    <w:rsid w:val="6A97E8BF"/>
    <w:rsid w:val="6AAAADF8"/>
    <w:rsid w:val="6AB2F967"/>
    <w:rsid w:val="6AC9FA97"/>
    <w:rsid w:val="6AF63FA2"/>
    <w:rsid w:val="6B22DDB2"/>
    <w:rsid w:val="6BB8F216"/>
    <w:rsid w:val="6BD02E37"/>
    <w:rsid w:val="6BDB77E1"/>
    <w:rsid w:val="6BDE1227"/>
    <w:rsid w:val="6BFD9E99"/>
    <w:rsid w:val="6C1EEEAE"/>
    <w:rsid w:val="6C2889AB"/>
    <w:rsid w:val="6C3B04F1"/>
    <w:rsid w:val="6C838ED0"/>
    <w:rsid w:val="6C839A3B"/>
    <w:rsid w:val="6CD654B5"/>
    <w:rsid w:val="6CDCFB18"/>
    <w:rsid w:val="6D26B025"/>
    <w:rsid w:val="6D3460B6"/>
    <w:rsid w:val="6D63CD6E"/>
    <w:rsid w:val="6D8DFFB5"/>
    <w:rsid w:val="6D903362"/>
    <w:rsid w:val="6DA20D06"/>
    <w:rsid w:val="6DC6FD7F"/>
    <w:rsid w:val="6DD817C6"/>
    <w:rsid w:val="6DD88560"/>
    <w:rsid w:val="6DEC5FF9"/>
    <w:rsid w:val="6E3F1071"/>
    <w:rsid w:val="6E3F8CB6"/>
    <w:rsid w:val="6E954990"/>
    <w:rsid w:val="6EB230D6"/>
    <w:rsid w:val="6EB8C130"/>
    <w:rsid w:val="6EC70927"/>
    <w:rsid w:val="6F0B92C9"/>
    <w:rsid w:val="6F0C15AD"/>
    <w:rsid w:val="6F23D753"/>
    <w:rsid w:val="6F2E839B"/>
    <w:rsid w:val="6F2F4B96"/>
    <w:rsid w:val="6F2F4DD4"/>
    <w:rsid w:val="6F38FB2F"/>
    <w:rsid w:val="70212A8A"/>
    <w:rsid w:val="70217006"/>
    <w:rsid w:val="703076FD"/>
    <w:rsid w:val="7033112A"/>
    <w:rsid w:val="70488FE8"/>
    <w:rsid w:val="7055D4B9"/>
    <w:rsid w:val="70713485"/>
    <w:rsid w:val="708A022B"/>
    <w:rsid w:val="708B3F29"/>
    <w:rsid w:val="70B5610B"/>
    <w:rsid w:val="70BCC91A"/>
    <w:rsid w:val="70CCD2FE"/>
    <w:rsid w:val="70D35337"/>
    <w:rsid w:val="70DB26D4"/>
    <w:rsid w:val="70ECCA20"/>
    <w:rsid w:val="70F692BE"/>
    <w:rsid w:val="70FE661F"/>
    <w:rsid w:val="711663F7"/>
    <w:rsid w:val="7126A68C"/>
    <w:rsid w:val="7139D296"/>
    <w:rsid w:val="714FDDA8"/>
    <w:rsid w:val="71753A0E"/>
    <w:rsid w:val="717EF776"/>
    <w:rsid w:val="71B16FBD"/>
    <w:rsid w:val="71BA2F66"/>
    <w:rsid w:val="71C0AE60"/>
    <w:rsid w:val="71F64B7E"/>
    <w:rsid w:val="7200E70B"/>
    <w:rsid w:val="72145F6B"/>
    <w:rsid w:val="723132C8"/>
    <w:rsid w:val="723DD2EE"/>
    <w:rsid w:val="724CAB88"/>
    <w:rsid w:val="7253D2C4"/>
    <w:rsid w:val="7259ADF9"/>
    <w:rsid w:val="727A8DFB"/>
    <w:rsid w:val="72A37CBA"/>
    <w:rsid w:val="72A65AF7"/>
    <w:rsid w:val="72B80ACF"/>
    <w:rsid w:val="72E1A078"/>
    <w:rsid w:val="72F3DC41"/>
    <w:rsid w:val="73083E10"/>
    <w:rsid w:val="730974D3"/>
    <w:rsid w:val="73117A16"/>
    <w:rsid w:val="7322A7F2"/>
    <w:rsid w:val="732CFBCB"/>
    <w:rsid w:val="732DA407"/>
    <w:rsid w:val="732F0262"/>
    <w:rsid w:val="7335C117"/>
    <w:rsid w:val="733E4CE7"/>
    <w:rsid w:val="733FC7DC"/>
    <w:rsid w:val="7340179E"/>
    <w:rsid w:val="735DB437"/>
    <w:rsid w:val="739B7ECA"/>
    <w:rsid w:val="73A8D06A"/>
    <w:rsid w:val="73B3174C"/>
    <w:rsid w:val="73CD910D"/>
    <w:rsid w:val="74049712"/>
    <w:rsid w:val="7421EB03"/>
    <w:rsid w:val="743BAA0E"/>
    <w:rsid w:val="744BA8C8"/>
    <w:rsid w:val="745E7E85"/>
    <w:rsid w:val="7473624B"/>
    <w:rsid w:val="7491E31A"/>
    <w:rsid w:val="7497651E"/>
    <w:rsid w:val="74C3A06E"/>
    <w:rsid w:val="74F492D8"/>
    <w:rsid w:val="74FCB386"/>
    <w:rsid w:val="751CBC77"/>
    <w:rsid w:val="751F6B9D"/>
    <w:rsid w:val="752896D1"/>
    <w:rsid w:val="752BE51E"/>
    <w:rsid w:val="75306E0C"/>
    <w:rsid w:val="75381FAD"/>
    <w:rsid w:val="754E09D5"/>
    <w:rsid w:val="75558F0D"/>
    <w:rsid w:val="75AABB2A"/>
    <w:rsid w:val="75BBF35B"/>
    <w:rsid w:val="75C8599E"/>
    <w:rsid w:val="75F42A61"/>
    <w:rsid w:val="75FB2836"/>
    <w:rsid w:val="761AD361"/>
    <w:rsid w:val="76203E41"/>
    <w:rsid w:val="762AA56C"/>
    <w:rsid w:val="76303FBC"/>
    <w:rsid w:val="766FF959"/>
    <w:rsid w:val="767D8326"/>
    <w:rsid w:val="767DA9E9"/>
    <w:rsid w:val="7694B9FE"/>
    <w:rsid w:val="769FD1C3"/>
    <w:rsid w:val="76A4925E"/>
    <w:rsid w:val="76A7D122"/>
    <w:rsid w:val="76BD8582"/>
    <w:rsid w:val="76D76FF9"/>
    <w:rsid w:val="76D92D8F"/>
    <w:rsid w:val="76DB9A2A"/>
    <w:rsid w:val="770610DE"/>
    <w:rsid w:val="771C813D"/>
    <w:rsid w:val="771E1A0D"/>
    <w:rsid w:val="77406F8A"/>
    <w:rsid w:val="7749E5B1"/>
    <w:rsid w:val="775957A5"/>
    <w:rsid w:val="7764B429"/>
    <w:rsid w:val="77689937"/>
    <w:rsid w:val="7772C486"/>
    <w:rsid w:val="77826576"/>
    <w:rsid w:val="778750B6"/>
    <w:rsid w:val="77A03856"/>
    <w:rsid w:val="77B78415"/>
    <w:rsid w:val="77F34910"/>
    <w:rsid w:val="780F0CBF"/>
    <w:rsid w:val="78232914"/>
    <w:rsid w:val="7853BB02"/>
    <w:rsid w:val="7854D068"/>
    <w:rsid w:val="785928A6"/>
    <w:rsid w:val="789FCAA6"/>
    <w:rsid w:val="78BB8870"/>
    <w:rsid w:val="78BC00F3"/>
    <w:rsid w:val="78BF1886"/>
    <w:rsid w:val="78CA8F82"/>
    <w:rsid w:val="78F088AA"/>
    <w:rsid w:val="790BE206"/>
    <w:rsid w:val="7924D61A"/>
    <w:rsid w:val="79314394"/>
    <w:rsid w:val="793A7A7A"/>
    <w:rsid w:val="7940B80D"/>
    <w:rsid w:val="794629D5"/>
    <w:rsid w:val="796355D0"/>
    <w:rsid w:val="798E8E91"/>
    <w:rsid w:val="79ABCD3E"/>
    <w:rsid w:val="79B3825F"/>
    <w:rsid w:val="79BDD518"/>
    <w:rsid w:val="79D6AE23"/>
    <w:rsid w:val="79DE056F"/>
    <w:rsid w:val="79EB8CC2"/>
    <w:rsid w:val="79EF9690"/>
    <w:rsid w:val="79F89776"/>
    <w:rsid w:val="79FB1D0F"/>
    <w:rsid w:val="7A0FBF86"/>
    <w:rsid w:val="7A2139DA"/>
    <w:rsid w:val="7A8588CB"/>
    <w:rsid w:val="7A94B505"/>
    <w:rsid w:val="7A96D455"/>
    <w:rsid w:val="7A9B2D1A"/>
    <w:rsid w:val="7AB7DB0A"/>
    <w:rsid w:val="7AC94836"/>
    <w:rsid w:val="7B0F3B0D"/>
    <w:rsid w:val="7B16EFBC"/>
    <w:rsid w:val="7B3BBD5B"/>
    <w:rsid w:val="7B4BDAC5"/>
    <w:rsid w:val="7B505A1E"/>
    <w:rsid w:val="7B781E63"/>
    <w:rsid w:val="7B8AB812"/>
    <w:rsid w:val="7B8BC7EB"/>
    <w:rsid w:val="7B8D0F30"/>
    <w:rsid w:val="7B9B2B1A"/>
    <w:rsid w:val="7BE64F6B"/>
    <w:rsid w:val="7C10685C"/>
    <w:rsid w:val="7C22319C"/>
    <w:rsid w:val="7C4508CA"/>
    <w:rsid w:val="7C4D3A47"/>
    <w:rsid w:val="7C579E1C"/>
    <w:rsid w:val="7C602AFE"/>
    <w:rsid w:val="7C675072"/>
    <w:rsid w:val="7C73E9C6"/>
    <w:rsid w:val="7C7CA799"/>
    <w:rsid w:val="7CA015A0"/>
    <w:rsid w:val="7CE60E8C"/>
    <w:rsid w:val="7CE763EE"/>
    <w:rsid w:val="7CEC5C0B"/>
    <w:rsid w:val="7D06B1BA"/>
    <w:rsid w:val="7D15441A"/>
    <w:rsid w:val="7D2A5F3A"/>
    <w:rsid w:val="7D32B4D7"/>
    <w:rsid w:val="7D3F8C19"/>
    <w:rsid w:val="7D590794"/>
    <w:rsid w:val="7D5BC6E8"/>
    <w:rsid w:val="7D82C1A2"/>
    <w:rsid w:val="7DAABEDE"/>
    <w:rsid w:val="7DC3547D"/>
    <w:rsid w:val="7DC5A5D4"/>
    <w:rsid w:val="7DD54773"/>
    <w:rsid w:val="7DE56673"/>
    <w:rsid w:val="7DE66200"/>
    <w:rsid w:val="7DF45D5C"/>
    <w:rsid w:val="7DFC0E3B"/>
    <w:rsid w:val="7E347458"/>
    <w:rsid w:val="7E58B3E2"/>
    <w:rsid w:val="7E751D61"/>
    <w:rsid w:val="7E80E73E"/>
    <w:rsid w:val="7E91FBD2"/>
    <w:rsid w:val="7E95991F"/>
    <w:rsid w:val="7F285057"/>
    <w:rsid w:val="7F65ECC5"/>
    <w:rsid w:val="7FBA0D08"/>
    <w:rsid w:val="7FE8AC23"/>
    <w:rsid w:val="7FF03B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2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0D4FEF"/>
    <w:pPr>
      <w:outlineLvl w:val="0"/>
    </w:pPr>
    <w:rPr>
      <w:rFonts w:ascii="Arial" w:hAnsi="Arial" w:cs="Arial"/>
      <w:b/>
      <w:color w:val="2F5496" w:themeColor="accent1" w:themeShade="BF"/>
      <w:sz w:val="36"/>
      <w:szCs w:val="36"/>
    </w:rPr>
  </w:style>
  <w:style w:type="paragraph" w:styleId="Heading2">
    <w:name w:val="heading 2"/>
    <w:basedOn w:val="Normal"/>
    <w:next w:val="Normal"/>
    <w:link w:val="Heading2Char"/>
    <w:uiPriority w:val="9"/>
    <w:unhideWhenUsed/>
    <w:qFormat/>
    <w:rsid w:val="000D4FEF"/>
    <w:pPr>
      <w:keepNext/>
      <w:keepLines/>
      <w:spacing w:before="40" w:after="240"/>
      <w:outlineLvl w:val="1"/>
    </w:pPr>
    <w:rPr>
      <w:rFonts w:ascii="Arial" w:eastAsiaTheme="majorEastAsia" w:hAnsi="Arial" w:cs="Arial"/>
      <w:b/>
      <w:bCs/>
      <w:color w:val="4472C4" w:themeColor="accent1"/>
      <w:sz w:val="28"/>
      <w:szCs w:val="28"/>
    </w:rPr>
  </w:style>
  <w:style w:type="paragraph" w:styleId="Heading3">
    <w:name w:val="heading 3"/>
    <w:basedOn w:val="Normal"/>
    <w:next w:val="Normal"/>
    <w:link w:val="Heading3Char"/>
    <w:uiPriority w:val="9"/>
    <w:unhideWhenUsed/>
    <w:qFormat/>
    <w:rsid w:val="00C36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7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D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07DE5"/>
    <w:rPr>
      <w:rFonts w:ascii="Arial" w:eastAsiaTheme="majorEastAsia" w:hAnsi="Arial" w:cs="Arial"/>
      <w:b/>
      <w:color w:val="2F5496" w:themeColor="accent1" w:themeShade="BF"/>
      <w:spacing w:val="-10"/>
      <w:kern w:val="28"/>
      <w:sz w:val="36"/>
      <w:szCs w:val="36"/>
    </w:rPr>
  </w:style>
  <w:style w:type="character" w:customStyle="1" w:styleId="Heading2Char">
    <w:name w:val="Heading 2 Char"/>
    <w:basedOn w:val="DefaultParagraphFont"/>
    <w:link w:val="Heading2"/>
    <w:uiPriority w:val="9"/>
    <w:rsid w:val="00E07DE5"/>
    <w:rPr>
      <w:rFonts w:ascii="Arial" w:eastAsiaTheme="majorEastAsia" w:hAnsi="Arial" w:cs="Arial"/>
      <w:b/>
      <w:bCs/>
      <w:color w:val="4472C4" w:themeColor="accent1"/>
      <w:sz w:val="28"/>
      <w:szCs w:val="28"/>
    </w:rPr>
  </w:style>
  <w:style w:type="character" w:styleId="Hyperlink">
    <w:name w:val="Hyperlink"/>
    <w:basedOn w:val="DefaultParagraphFont"/>
    <w:uiPriority w:val="99"/>
    <w:unhideWhenUsed/>
    <w:rsid w:val="00315BB0"/>
    <w:rPr>
      <w:color w:val="0000FF"/>
      <w:u w:val="single"/>
    </w:rPr>
  </w:style>
  <w:style w:type="paragraph" w:styleId="NormalWeb">
    <w:name w:val="Normal (Web)"/>
    <w:basedOn w:val="Normal"/>
    <w:uiPriority w:val="99"/>
    <w:unhideWhenUsed/>
    <w:rsid w:val="00762F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62F97"/>
    <w:rPr>
      <w:i/>
      <w:iCs/>
    </w:rPr>
  </w:style>
  <w:style w:type="paragraph" w:styleId="ListParagraph">
    <w:name w:val="List Paragraph"/>
    <w:basedOn w:val="Normal"/>
    <w:uiPriority w:val="34"/>
    <w:qFormat/>
    <w:rsid w:val="00BD6C7E"/>
    <w:pPr>
      <w:ind w:left="720"/>
      <w:contextualSpacing/>
    </w:pPr>
  </w:style>
  <w:style w:type="paragraph" w:styleId="Header">
    <w:name w:val="header"/>
    <w:basedOn w:val="Normal"/>
    <w:link w:val="HeaderChar"/>
    <w:uiPriority w:val="99"/>
    <w:unhideWhenUsed/>
    <w:rsid w:val="00B5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689"/>
  </w:style>
  <w:style w:type="paragraph" w:styleId="Footer">
    <w:name w:val="footer"/>
    <w:basedOn w:val="Normal"/>
    <w:link w:val="FooterChar"/>
    <w:uiPriority w:val="99"/>
    <w:unhideWhenUsed/>
    <w:rsid w:val="00B5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689"/>
  </w:style>
  <w:style w:type="character" w:styleId="FollowedHyperlink">
    <w:name w:val="FollowedHyperlink"/>
    <w:basedOn w:val="DefaultParagraphFont"/>
    <w:uiPriority w:val="99"/>
    <w:semiHidden/>
    <w:unhideWhenUsed/>
    <w:rsid w:val="0056429E"/>
    <w:rPr>
      <w:color w:val="954F72" w:themeColor="followedHyperlink"/>
      <w:u w:val="single"/>
    </w:rPr>
  </w:style>
  <w:style w:type="character" w:customStyle="1" w:styleId="UnresolvedMention1">
    <w:name w:val="Unresolved Mention1"/>
    <w:basedOn w:val="DefaultParagraphFont"/>
    <w:uiPriority w:val="99"/>
    <w:semiHidden/>
    <w:unhideWhenUsed/>
    <w:rsid w:val="009056CF"/>
    <w:rPr>
      <w:color w:val="605E5C"/>
      <w:shd w:val="clear" w:color="auto" w:fill="E1DFDD"/>
    </w:rPr>
  </w:style>
  <w:style w:type="paragraph" w:styleId="Revision">
    <w:name w:val="Revision"/>
    <w:hidden/>
    <w:uiPriority w:val="99"/>
    <w:semiHidden/>
    <w:rsid w:val="00666633"/>
    <w:pPr>
      <w:spacing w:after="0" w:line="240" w:lineRule="auto"/>
    </w:pPr>
  </w:style>
  <w:style w:type="character" w:styleId="CommentReference">
    <w:name w:val="annotation reference"/>
    <w:basedOn w:val="DefaultParagraphFont"/>
    <w:uiPriority w:val="99"/>
    <w:semiHidden/>
    <w:unhideWhenUsed/>
    <w:rsid w:val="004E2A3D"/>
    <w:rPr>
      <w:sz w:val="16"/>
      <w:szCs w:val="16"/>
    </w:rPr>
  </w:style>
  <w:style w:type="paragraph" w:styleId="CommentText">
    <w:name w:val="annotation text"/>
    <w:basedOn w:val="Normal"/>
    <w:link w:val="CommentTextChar"/>
    <w:uiPriority w:val="99"/>
    <w:unhideWhenUsed/>
    <w:rsid w:val="004E2A3D"/>
    <w:pPr>
      <w:spacing w:line="240" w:lineRule="auto"/>
    </w:pPr>
    <w:rPr>
      <w:sz w:val="20"/>
      <w:szCs w:val="20"/>
    </w:rPr>
  </w:style>
  <w:style w:type="character" w:customStyle="1" w:styleId="CommentTextChar">
    <w:name w:val="Comment Text Char"/>
    <w:basedOn w:val="DefaultParagraphFont"/>
    <w:link w:val="CommentText"/>
    <w:uiPriority w:val="99"/>
    <w:rsid w:val="004E2A3D"/>
    <w:rPr>
      <w:sz w:val="20"/>
      <w:szCs w:val="20"/>
    </w:rPr>
  </w:style>
  <w:style w:type="paragraph" w:styleId="CommentSubject">
    <w:name w:val="annotation subject"/>
    <w:basedOn w:val="CommentText"/>
    <w:next w:val="CommentText"/>
    <w:link w:val="CommentSubjectChar"/>
    <w:uiPriority w:val="99"/>
    <w:semiHidden/>
    <w:unhideWhenUsed/>
    <w:rsid w:val="004E2A3D"/>
    <w:rPr>
      <w:b/>
      <w:bCs/>
    </w:rPr>
  </w:style>
  <w:style w:type="character" w:customStyle="1" w:styleId="CommentSubjectChar">
    <w:name w:val="Comment Subject Char"/>
    <w:basedOn w:val="CommentTextChar"/>
    <w:link w:val="CommentSubject"/>
    <w:uiPriority w:val="99"/>
    <w:semiHidden/>
    <w:rsid w:val="004E2A3D"/>
    <w:rPr>
      <w:b/>
      <w:bCs/>
      <w:sz w:val="20"/>
      <w:szCs w:val="20"/>
    </w:rPr>
  </w:style>
  <w:style w:type="character" w:customStyle="1" w:styleId="Heading3Char">
    <w:name w:val="Heading 3 Char"/>
    <w:basedOn w:val="DefaultParagraphFont"/>
    <w:link w:val="Heading3"/>
    <w:uiPriority w:val="9"/>
    <w:rsid w:val="00C3655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BF6B46"/>
    <w:pPr>
      <w:spacing w:after="0" w:line="240" w:lineRule="auto"/>
    </w:pPr>
    <w:rPr>
      <w:sz w:val="20"/>
      <w:szCs w:val="20"/>
    </w:rPr>
  </w:style>
  <w:style w:type="character" w:customStyle="1" w:styleId="FootnoteTextChar">
    <w:name w:val="Footnote Text Char"/>
    <w:basedOn w:val="DefaultParagraphFont"/>
    <w:link w:val="FootnoteText"/>
    <w:uiPriority w:val="99"/>
    <w:rsid w:val="00BF6B46"/>
    <w:rPr>
      <w:sz w:val="20"/>
      <w:szCs w:val="20"/>
    </w:rPr>
  </w:style>
  <w:style w:type="character" w:styleId="FootnoteReference">
    <w:name w:val="footnote reference"/>
    <w:basedOn w:val="DefaultParagraphFont"/>
    <w:uiPriority w:val="99"/>
    <w:unhideWhenUsed/>
    <w:rsid w:val="00BF6B46"/>
    <w:rPr>
      <w:vertAlign w:val="superscript"/>
    </w:rPr>
  </w:style>
  <w:style w:type="character" w:customStyle="1" w:styleId="jpfdse">
    <w:name w:val="jpfdse"/>
    <w:basedOn w:val="DefaultParagraphFont"/>
    <w:rsid w:val="00D86531"/>
  </w:style>
  <w:style w:type="character" w:customStyle="1" w:styleId="Mention1">
    <w:name w:val="Mention1"/>
    <w:basedOn w:val="DefaultParagraphFont"/>
    <w:uiPriority w:val="99"/>
    <w:unhideWhenUsed/>
    <w:rsid w:val="005F0335"/>
    <w:rPr>
      <w:color w:val="2B579A"/>
      <w:shd w:val="clear" w:color="auto" w:fill="E1DFDD"/>
    </w:rPr>
  </w:style>
  <w:style w:type="paragraph" w:customStyle="1" w:styleId="pf0">
    <w:name w:val="pf0"/>
    <w:basedOn w:val="Normal"/>
    <w:rsid w:val="00395A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95ABE"/>
    <w:rPr>
      <w:rFonts w:ascii="Segoe UI" w:hAnsi="Segoe UI" w:cs="Segoe UI" w:hint="default"/>
      <w:color w:val="333333"/>
      <w:sz w:val="18"/>
      <w:szCs w:val="18"/>
      <w:shd w:val="clear" w:color="auto" w:fill="FFFFFF"/>
    </w:rPr>
  </w:style>
  <w:style w:type="character" w:customStyle="1" w:styleId="cf21">
    <w:name w:val="cf21"/>
    <w:basedOn w:val="DefaultParagraphFont"/>
    <w:rsid w:val="00395ABE"/>
    <w:rPr>
      <w:rFonts w:ascii="Segoe UI" w:hAnsi="Segoe UI" w:cs="Segoe UI" w:hint="default"/>
      <w:color w:val="212529"/>
      <w:sz w:val="18"/>
      <w:szCs w:val="18"/>
      <w:shd w:val="clear" w:color="auto" w:fill="FFFFFF"/>
    </w:rPr>
  </w:style>
  <w:style w:type="character" w:customStyle="1" w:styleId="cf11">
    <w:name w:val="cf11"/>
    <w:basedOn w:val="DefaultParagraphFont"/>
    <w:rsid w:val="00395ABE"/>
    <w:rPr>
      <w:rFonts w:ascii="Segoe UI" w:hAnsi="Segoe UI" w:cs="Segoe UI" w:hint="default"/>
      <w:sz w:val="18"/>
      <w:szCs w:val="18"/>
    </w:rPr>
  </w:style>
  <w:style w:type="paragraph" w:styleId="BodyText">
    <w:name w:val="Body Text"/>
    <w:link w:val="BodyTextChar"/>
    <w:uiPriority w:val="1"/>
    <w:qFormat/>
    <w:rsid w:val="00BA642D"/>
    <w:pPr>
      <w:spacing w:before="120" w:after="120" w:line="240" w:lineRule="auto"/>
    </w:pPr>
    <w:rPr>
      <w:rFonts w:cstheme="majorHAnsi"/>
      <w:szCs w:val="28"/>
    </w:rPr>
  </w:style>
  <w:style w:type="character" w:customStyle="1" w:styleId="BodyTextChar">
    <w:name w:val="Body Text Char"/>
    <w:basedOn w:val="DefaultParagraphFont"/>
    <w:link w:val="BodyText"/>
    <w:uiPriority w:val="1"/>
    <w:rsid w:val="00BA642D"/>
    <w:rPr>
      <w:rFonts w:cstheme="majorHAnsi"/>
      <w:szCs w:val="28"/>
    </w:rPr>
  </w:style>
  <w:style w:type="paragraph" w:customStyle="1" w:styleId="Bullet1stlevel">
    <w:name w:val="Bullet 1st level"/>
    <w:basedOn w:val="BodyText"/>
    <w:link w:val="Bullet1stlevelChar"/>
    <w:qFormat/>
    <w:rsid w:val="00BA642D"/>
    <w:pPr>
      <w:numPr>
        <w:numId w:val="35"/>
      </w:numPr>
    </w:pPr>
    <w:rPr>
      <w:szCs w:val="22"/>
    </w:rPr>
  </w:style>
  <w:style w:type="character" w:customStyle="1" w:styleId="Bullet1stlevelChar">
    <w:name w:val="Bullet 1st level Char"/>
    <w:link w:val="Bullet1stlevel"/>
    <w:rsid w:val="00BA642D"/>
    <w:rPr>
      <w:rFonts w:cstheme="majorHAnsi"/>
    </w:rPr>
  </w:style>
  <w:style w:type="paragraph" w:styleId="BalloonText">
    <w:name w:val="Balloon Text"/>
    <w:basedOn w:val="Normal"/>
    <w:link w:val="BalloonTextChar"/>
    <w:uiPriority w:val="99"/>
    <w:semiHidden/>
    <w:unhideWhenUsed/>
    <w:rsid w:val="004F3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39F"/>
    <w:rPr>
      <w:rFonts w:ascii="Segoe UI" w:hAnsi="Segoe UI" w:cs="Segoe UI"/>
      <w:sz w:val="18"/>
      <w:szCs w:val="18"/>
    </w:rPr>
  </w:style>
  <w:style w:type="character" w:customStyle="1" w:styleId="UnresolvedMention2">
    <w:name w:val="Unresolved Mention2"/>
    <w:basedOn w:val="DefaultParagraphFont"/>
    <w:uiPriority w:val="99"/>
    <w:semiHidden/>
    <w:unhideWhenUsed/>
    <w:rsid w:val="00CD6F42"/>
    <w:rPr>
      <w:color w:val="605E5C"/>
      <w:shd w:val="clear" w:color="auto" w:fill="E1DFDD"/>
    </w:rPr>
  </w:style>
  <w:style w:type="character" w:customStyle="1" w:styleId="Mention2">
    <w:name w:val="Mention2"/>
    <w:basedOn w:val="DefaultParagraphFont"/>
    <w:uiPriority w:val="99"/>
    <w:unhideWhenUsed/>
    <w:rsid w:val="00204684"/>
    <w:rPr>
      <w:color w:val="2B579A"/>
      <w:shd w:val="clear" w:color="auto" w:fill="E1DFDD"/>
    </w:rPr>
  </w:style>
  <w:style w:type="character" w:customStyle="1" w:styleId="UnresolvedMention3">
    <w:name w:val="Unresolved Mention3"/>
    <w:basedOn w:val="DefaultParagraphFont"/>
    <w:uiPriority w:val="99"/>
    <w:semiHidden/>
    <w:unhideWhenUsed/>
    <w:rsid w:val="0095195B"/>
    <w:rPr>
      <w:color w:val="605E5C"/>
      <w:shd w:val="clear" w:color="auto" w:fill="E1DFDD"/>
    </w:rPr>
  </w:style>
  <w:style w:type="paragraph" w:customStyle="1" w:styleId="Tablebody">
    <w:name w:val="Table body"/>
    <w:basedOn w:val="Normal"/>
    <w:uiPriority w:val="11"/>
    <w:qFormat/>
    <w:rsid w:val="002B05FC"/>
    <w:pPr>
      <w:spacing w:before="120" w:after="120" w:line="240" w:lineRule="auto"/>
    </w:pPr>
    <w:rPr>
      <w:rFonts w:eastAsia="MS Mincho" w:cs="Times New Roman"/>
      <w:color w:val="000000" w:themeColor="text1"/>
      <w:sz w:val="20"/>
      <w:szCs w:val="20"/>
      <w:lang w:val="en-US"/>
    </w:rPr>
  </w:style>
  <w:style w:type="paragraph" w:styleId="Caption">
    <w:name w:val="caption"/>
    <w:basedOn w:val="Normal"/>
    <w:next w:val="Normal"/>
    <w:uiPriority w:val="35"/>
    <w:qFormat/>
    <w:rsid w:val="00252112"/>
    <w:pPr>
      <w:keepNext/>
      <w:tabs>
        <w:tab w:val="left" w:pos="1134"/>
      </w:tabs>
      <w:spacing w:before="120" w:after="120" w:line="240" w:lineRule="auto"/>
      <w:ind w:left="1134" w:hanging="1134"/>
    </w:pPr>
    <w:rPr>
      <w:b/>
      <w:i/>
      <w:sz w:val="18"/>
      <w:szCs w:val="18"/>
      <w:lang w:eastAsia="en-AU"/>
    </w:rPr>
  </w:style>
  <w:style w:type="table" w:customStyle="1" w:styleId="KPMGTable">
    <w:name w:val="KPMG Table"/>
    <w:basedOn w:val="TableNormal"/>
    <w:uiPriority w:val="99"/>
    <w:rsid w:val="001157CD"/>
    <w:pPr>
      <w:spacing w:after="0" w:line="240" w:lineRule="auto"/>
    </w:pPr>
    <w:rPr>
      <w:rFonts w:ascii="Arial" w:hAnsi="Arial"/>
      <w:sz w:val="20"/>
    </w:rPr>
    <w:tblPr>
      <w:tblBorders>
        <w:bottom w:val="single" w:sz="4" w:space="0" w:color="BFBFBF" w:themeColor="background1" w:themeShade="BF"/>
        <w:insideH w:val="single" w:sz="4" w:space="0" w:color="BFBFBF" w:themeColor="background1" w:themeShade="BF"/>
      </w:tblBorders>
    </w:tblPr>
    <w:tblStylePr w:type="firstRow">
      <w:pPr>
        <w:jc w:val="left"/>
      </w:pPr>
      <w:rPr>
        <w:rFonts w:ascii="Arial" w:hAnsi="Arial"/>
        <w:b w:val="0"/>
        <w:i w:val="0"/>
        <w:color w:val="4472C4" w:themeColor="accent1"/>
      </w:rPr>
      <w:tblPr/>
      <w:tcPr>
        <w:tcBorders>
          <w:bottom w:val="single" w:sz="4" w:space="0" w:color="4472C4" w:themeColor="accent1"/>
        </w:tcBorders>
        <w:shd w:val="clear" w:color="auto" w:fill="FFFFFF" w:themeFill="background1"/>
      </w:tcPr>
    </w:tblStylePr>
    <w:tblStylePr w:type="lastRow">
      <w:tblPr/>
      <w:tcPr>
        <w:tcBorders>
          <w:bottom w:val="single" w:sz="4" w:space="0" w:color="4472C4" w:themeColor="accent1"/>
        </w:tcBorders>
      </w:tcPr>
    </w:tblStylePr>
    <w:tblStylePr w:type="firstCol">
      <w:tblPr/>
      <w:tcPr>
        <w:shd w:val="clear" w:color="auto" w:fill="F2F2F2" w:themeFill="background1" w:themeFillShade="F2"/>
      </w:tcPr>
    </w:tblStylePr>
  </w:style>
  <w:style w:type="paragraph" w:customStyle="1" w:styleId="TableHeading">
    <w:name w:val="Table Heading"/>
    <w:basedOn w:val="BodyText"/>
    <w:uiPriority w:val="6"/>
    <w:qFormat/>
    <w:rsid w:val="001157CD"/>
    <w:rPr>
      <w:rFonts w:cstheme="minorBidi"/>
      <w:b/>
      <w:color w:val="4472C4" w:themeColor="accen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8765">
      <w:bodyDiv w:val="1"/>
      <w:marLeft w:val="0"/>
      <w:marRight w:val="0"/>
      <w:marTop w:val="0"/>
      <w:marBottom w:val="0"/>
      <w:divBdr>
        <w:top w:val="none" w:sz="0" w:space="0" w:color="auto"/>
        <w:left w:val="none" w:sz="0" w:space="0" w:color="auto"/>
        <w:bottom w:val="none" w:sz="0" w:space="0" w:color="auto"/>
        <w:right w:val="none" w:sz="0" w:space="0" w:color="auto"/>
      </w:divBdr>
    </w:div>
    <w:div w:id="75788211">
      <w:bodyDiv w:val="1"/>
      <w:marLeft w:val="0"/>
      <w:marRight w:val="0"/>
      <w:marTop w:val="0"/>
      <w:marBottom w:val="0"/>
      <w:divBdr>
        <w:top w:val="none" w:sz="0" w:space="0" w:color="auto"/>
        <w:left w:val="none" w:sz="0" w:space="0" w:color="auto"/>
        <w:bottom w:val="none" w:sz="0" w:space="0" w:color="auto"/>
        <w:right w:val="none" w:sz="0" w:space="0" w:color="auto"/>
      </w:divBdr>
    </w:div>
    <w:div w:id="497966643">
      <w:bodyDiv w:val="1"/>
      <w:marLeft w:val="0"/>
      <w:marRight w:val="0"/>
      <w:marTop w:val="0"/>
      <w:marBottom w:val="0"/>
      <w:divBdr>
        <w:top w:val="none" w:sz="0" w:space="0" w:color="auto"/>
        <w:left w:val="none" w:sz="0" w:space="0" w:color="auto"/>
        <w:bottom w:val="none" w:sz="0" w:space="0" w:color="auto"/>
        <w:right w:val="none" w:sz="0" w:space="0" w:color="auto"/>
      </w:divBdr>
    </w:div>
    <w:div w:id="558128648">
      <w:bodyDiv w:val="1"/>
      <w:marLeft w:val="0"/>
      <w:marRight w:val="0"/>
      <w:marTop w:val="0"/>
      <w:marBottom w:val="0"/>
      <w:divBdr>
        <w:top w:val="none" w:sz="0" w:space="0" w:color="auto"/>
        <w:left w:val="none" w:sz="0" w:space="0" w:color="auto"/>
        <w:bottom w:val="none" w:sz="0" w:space="0" w:color="auto"/>
        <w:right w:val="none" w:sz="0" w:space="0" w:color="auto"/>
      </w:divBdr>
    </w:div>
    <w:div w:id="570382719">
      <w:bodyDiv w:val="1"/>
      <w:marLeft w:val="0"/>
      <w:marRight w:val="0"/>
      <w:marTop w:val="0"/>
      <w:marBottom w:val="0"/>
      <w:divBdr>
        <w:top w:val="none" w:sz="0" w:space="0" w:color="auto"/>
        <w:left w:val="none" w:sz="0" w:space="0" w:color="auto"/>
        <w:bottom w:val="none" w:sz="0" w:space="0" w:color="auto"/>
        <w:right w:val="none" w:sz="0" w:space="0" w:color="auto"/>
      </w:divBdr>
    </w:div>
    <w:div w:id="683441378">
      <w:bodyDiv w:val="1"/>
      <w:marLeft w:val="0"/>
      <w:marRight w:val="0"/>
      <w:marTop w:val="0"/>
      <w:marBottom w:val="0"/>
      <w:divBdr>
        <w:top w:val="none" w:sz="0" w:space="0" w:color="auto"/>
        <w:left w:val="none" w:sz="0" w:space="0" w:color="auto"/>
        <w:bottom w:val="none" w:sz="0" w:space="0" w:color="auto"/>
        <w:right w:val="none" w:sz="0" w:space="0" w:color="auto"/>
      </w:divBdr>
    </w:div>
    <w:div w:id="1170221244">
      <w:bodyDiv w:val="1"/>
      <w:marLeft w:val="0"/>
      <w:marRight w:val="0"/>
      <w:marTop w:val="0"/>
      <w:marBottom w:val="0"/>
      <w:divBdr>
        <w:top w:val="none" w:sz="0" w:space="0" w:color="auto"/>
        <w:left w:val="none" w:sz="0" w:space="0" w:color="auto"/>
        <w:bottom w:val="none" w:sz="0" w:space="0" w:color="auto"/>
        <w:right w:val="none" w:sz="0" w:space="0" w:color="auto"/>
      </w:divBdr>
    </w:div>
    <w:div w:id="1229993590">
      <w:bodyDiv w:val="1"/>
      <w:marLeft w:val="0"/>
      <w:marRight w:val="0"/>
      <w:marTop w:val="0"/>
      <w:marBottom w:val="0"/>
      <w:divBdr>
        <w:top w:val="none" w:sz="0" w:space="0" w:color="auto"/>
        <w:left w:val="none" w:sz="0" w:space="0" w:color="auto"/>
        <w:bottom w:val="none" w:sz="0" w:space="0" w:color="auto"/>
        <w:right w:val="none" w:sz="0" w:space="0" w:color="auto"/>
      </w:divBdr>
    </w:div>
    <w:div w:id="1230766473">
      <w:bodyDiv w:val="1"/>
      <w:marLeft w:val="0"/>
      <w:marRight w:val="0"/>
      <w:marTop w:val="0"/>
      <w:marBottom w:val="0"/>
      <w:divBdr>
        <w:top w:val="none" w:sz="0" w:space="0" w:color="auto"/>
        <w:left w:val="none" w:sz="0" w:space="0" w:color="auto"/>
        <w:bottom w:val="none" w:sz="0" w:space="0" w:color="auto"/>
        <w:right w:val="none" w:sz="0" w:space="0" w:color="auto"/>
      </w:divBdr>
    </w:div>
    <w:div w:id="1293631262">
      <w:bodyDiv w:val="1"/>
      <w:marLeft w:val="0"/>
      <w:marRight w:val="0"/>
      <w:marTop w:val="0"/>
      <w:marBottom w:val="0"/>
      <w:divBdr>
        <w:top w:val="none" w:sz="0" w:space="0" w:color="auto"/>
        <w:left w:val="none" w:sz="0" w:space="0" w:color="auto"/>
        <w:bottom w:val="none" w:sz="0" w:space="0" w:color="auto"/>
        <w:right w:val="none" w:sz="0" w:space="0" w:color="auto"/>
      </w:divBdr>
    </w:div>
    <w:div w:id="1705906556">
      <w:bodyDiv w:val="1"/>
      <w:marLeft w:val="0"/>
      <w:marRight w:val="0"/>
      <w:marTop w:val="0"/>
      <w:marBottom w:val="0"/>
      <w:divBdr>
        <w:top w:val="none" w:sz="0" w:space="0" w:color="auto"/>
        <w:left w:val="none" w:sz="0" w:space="0" w:color="auto"/>
        <w:bottom w:val="none" w:sz="0" w:space="0" w:color="auto"/>
        <w:right w:val="none" w:sz="0" w:space="0" w:color="auto"/>
      </w:divBdr>
    </w:div>
    <w:div w:id="1789465119">
      <w:bodyDiv w:val="1"/>
      <w:marLeft w:val="0"/>
      <w:marRight w:val="0"/>
      <w:marTop w:val="0"/>
      <w:marBottom w:val="0"/>
      <w:divBdr>
        <w:top w:val="none" w:sz="0" w:space="0" w:color="auto"/>
        <w:left w:val="none" w:sz="0" w:space="0" w:color="auto"/>
        <w:bottom w:val="none" w:sz="0" w:space="0" w:color="auto"/>
        <w:right w:val="none" w:sz="0" w:space="0" w:color="auto"/>
      </w:divBdr>
    </w:div>
    <w:div w:id="18076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acma.gov.au%2Fsites%2Fdefault%2Ffiles%2F2020-04%2FImpacts%2520of%2520the%25202019-20%2520bushfires%2520on%2520the%2520telecommunications%2520network_1.docx&amp;wdOrigin=BROWSELINK" TargetMode="External"/><Relationship Id="rId13" Type="http://schemas.openxmlformats.org/officeDocument/2006/relationships/hyperlink" Target="https://www.reuters.com/business/media-telecom/japans-kddi-says-70-services-restored-after-wide-network-troubles-2022-07-03/" TargetMode="External"/><Relationship Id="rId3" Type="http://schemas.openxmlformats.org/officeDocument/2006/relationships/hyperlink" Target="https://www.optus.com.au/content/dam/optus/documents/about-us/media-centre/financial-reports/2022/halfyear_optus.pdf" TargetMode="External"/><Relationship Id="rId7" Type="http://schemas.openxmlformats.org/officeDocument/2006/relationships/hyperlink" Target="https://www.nsw.gov.au/sites/default/files/noindex/2023-06/Final-Report-of-the-NSW-Bushfire-Inquiry.pdf" TargetMode="External"/><Relationship Id="rId12" Type="http://schemas.openxmlformats.org/officeDocument/2006/relationships/hyperlink" Target="https://www.reuters.com/business/media-telecom/japans-kddi-says-70-services-restored-after-wide-network-troubles-2022-07-03/" TargetMode="External"/><Relationship Id="rId2" Type="http://schemas.openxmlformats.org/officeDocument/2006/relationships/hyperlink" Target="https://www.qld.gov.au/community/your-home-community/cyber-security/cyber-security-for-queenslanders/case-studies/optus-data-breach" TargetMode="External"/><Relationship Id="rId16" Type="http://schemas.openxmlformats.org/officeDocument/2006/relationships/hyperlink" Target="https://parlinfo.aph.gov.au/parlInfo/search/display/display.w3p;query=Id%3A%22legislation%2Fems%2Fs1051_ems_257c2e01-5768-4235-b4e4-90ac187ac7cd%22" TargetMode="External"/><Relationship Id="rId1" Type="http://schemas.openxmlformats.org/officeDocument/2006/relationships/hyperlink" Target="https://www.infrastructureaustralia.gov.au/australian-infrastructure-audit-2019-telecommunications" TargetMode="External"/><Relationship Id="rId6" Type="http://schemas.openxmlformats.org/officeDocument/2006/relationships/hyperlink" Target="https://news.viasat.com/blog/corporate/ka-sat-network-cyber-attack-overview" TargetMode="External"/><Relationship Id="rId11" Type="http://schemas.openxmlformats.org/officeDocument/2006/relationships/hyperlink" Target="https://www.nsw.gov.au/sites/default/files/noindex/2023-06/Final-Report-of-the-NSW-Bushfire-Inquiry.pdf" TargetMode="External"/><Relationship Id="rId5" Type="http://schemas.openxmlformats.org/officeDocument/2006/relationships/hyperlink" Target="https://cyberconflicts.cyberpeaceinstitute.org/law-and-policy/cases/viasat" TargetMode="External"/><Relationship Id="rId15" Type="http://schemas.openxmlformats.org/officeDocument/2006/relationships/hyperlink" Target="https://www.legislation.gov.au/F2023L00112/asmade/downloads" TargetMode="External"/><Relationship Id="rId10" Type="http://schemas.openxmlformats.org/officeDocument/2006/relationships/hyperlink" Target="https://view.officeapps.live.com/op/view.aspx?src=https%3A%2F%2Fwww.acma.gov.au%2Fsites%2Fdefault%2Ffiles%2F2020-04%2FImpacts%2520of%2520the%25202019-20%2520bushfires%2520on%2520the%2520telecommunications%2520network_1.docx&amp;wdOrigin=BROWSELINK" TargetMode="External"/><Relationship Id="rId4" Type="http://schemas.openxmlformats.org/officeDocument/2006/relationships/hyperlink" Target="https://www.slatergordon.com.au/media/slater-and-gordon-commences-class-action-against-optus-over-data-breach" TargetMode="External"/><Relationship Id="rId9" Type="http://schemas.openxmlformats.org/officeDocument/2006/relationships/hyperlink" Target="https://www.nsw.gov.au/sites/default/files/noindex/2023-06/Final-Report-of-the-NSW-Bushfire-Inquiry.pdf" TargetMode="External"/><Relationship Id="rId14" Type="http://schemas.openxmlformats.org/officeDocument/2006/relationships/hyperlink" Target="https://www.reuters.com/business/media-telecom/japans-kddi-says-70-services-restored-after-wide-network-troubles-2022-0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32792</CharactersWithSpaces>
  <SharedDoc>false</SharedDoc>
  <HLinks>
    <vt:vector size="96" baseType="variant">
      <vt:variant>
        <vt:i4>8323129</vt:i4>
      </vt:variant>
      <vt:variant>
        <vt:i4>45</vt:i4>
      </vt:variant>
      <vt:variant>
        <vt:i4>0</vt:i4>
      </vt:variant>
      <vt:variant>
        <vt:i4>5</vt:i4>
      </vt:variant>
      <vt:variant>
        <vt:lpwstr>https://parlinfo.aph.gov.au/parlInfo/search/display/display.w3p;query=Id%3A%22legislation%2Fems%2Fs1051_ems_257c2e01-5768-4235-b4e4-90ac187ac7cd%22</vt:lpwstr>
      </vt:variant>
      <vt:variant>
        <vt:lpwstr/>
      </vt:variant>
      <vt:variant>
        <vt:i4>3276842</vt:i4>
      </vt:variant>
      <vt:variant>
        <vt:i4>42</vt:i4>
      </vt:variant>
      <vt:variant>
        <vt:i4>0</vt:i4>
      </vt:variant>
      <vt:variant>
        <vt:i4>5</vt:i4>
      </vt:variant>
      <vt:variant>
        <vt:lpwstr>https://www.legislation.gov.au/F2023L00112/asmade/downloads</vt:lpwstr>
      </vt:variant>
      <vt:variant>
        <vt:lpwstr/>
      </vt:variant>
      <vt:variant>
        <vt:i4>6029376</vt:i4>
      </vt:variant>
      <vt:variant>
        <vt:i4>39</vt:i4>
      </vt:variant>
      <vt:variant>
        <vt:i4>0</vt:i4>
      </vt:variant>
      <vt:variant>
        <vt:i4>5</vt:i4>
      </vt:variant>
      <vt:variant>
        <vt:lpwstr>https://www.reuters.com/business/media-telecom/japans-kddi-says-70-services-restored-after-wide-network-troubles-2022-07-03/</vt:lpwstr>
      </vt:variant>
      <vt:variant>
        <vt:lpwstr/>
      </vt:variant>
      <vt:variant>
        <vt:i4>6029376</vt:i4>
      </vt:variant>
      <vt:variant>
        <vt:i4>36</vt:i4>
      </vt:variant>
      <vt:variant>
        <vt:i4>0</vt:i4>
      </vt:variant>
      <vt:variant>
        <vt:i4>5</vt:i4>
      </vt:variant>
      <vt:variant>
        <vt:lpwstr>https://www.reuters.com/business/media-telecom/japans-kddi-says-70-services-restored-after-wide-network-troubles-2022-07-03/</vt:lpwstr>
      </vt:variant>
      <vt:variant>
        <vt:lpwstr/>
      </vt:variant>
      <vt:variant>
        <vt:i4>6029376</vt:i4>
      </vt:variant>
      <vt:variant>
        <vt:i4>33</vt:i4>
      </vt:variant>
      <vt:variant>
        <vt:i4>0</vt:i4>
      </vt:variant>
      <vt:variant>
        <vt:i4>5</vt:i4>
      </vt:variant>
      <vt:variant>
        <vt:lpwstr>https://www.reuters.com/business/media-telecom/japans-kddi-says-70-services-restored-after-wide-network-troubles-2022-07-03/</vt:lpwstr>
      </vt:variant>
      <vt:variant>
        <vt:lpwstr/>
      </vt:variant>
      <vt:variant>
        <vt:i4>7536765</vt:i4>
      </vt:variant>
      <vt:variant>
        <vt:i4>30</vt:i4>
      </vt:variant>
      <vt:variant>
        <vt:i4>0</vt:i4>
      </vt:variant>
      <vt:variant>
        <vt:i4>5</vt:i4>
      </vt:variant>
      <vt:variant>
        <vt:lpwstr>https://www.nsw.gov.au/sites/default/files/noindex/2023-06/Final-Report-of-the-NSW-Bushfire-Inquiry.pdf</vt:lpwstr>
      </vt:variant>
      <vt:variant>
        <vt:lpwstr/>
      </vt:variant>
      <vt:variant>
        <vt:i4>2883605</vt:i4>
      </vt:variant>
      <vt:variant>
        <vt:i4>27</vt:i4>
      </vt:variant>
      <vt:variant>
        <vt:i4>0</vt:i4>
      </vt:variant>
      <vt:variant>
        <vt:i4>5</vt:i4>
      </vt:variant>
      <vt:variant>
        <vt:lpwstr>https://view.officeapps.live.com/op/view.aspx?src=https%3A%2F%2Fwww.acma.gov.au%2Fsites%2Fdefault%2Ffiles%2F2020-04%2FImpacts%2520of%2520the%25202019-20%2520bushfires%2520on%2520the%2520telecommunications%2520network_1.docx&amp;wdOrigin=BROWSELINK</vt:lpwstr>
      </vt:variant>
      <vt:variant>
        <vt:lpwstr/>
      </vt:variant>
      <vt:variant>
        <vt:i4>7536765</vt:i4>
      </vt:variant>
      <vt:variant>
        <vt:i4>24</vt:i4>
      </vt:variant>
      <vt:variant>
        <vt:i4>0</vt:i4>
      </vt:variant>
      <vt:variant>
        <vt:i4>5</vt:i4>
      </vt:variant>
      <vt:variant>
        <vt:lpwstr>https://www.nsw.gov.au/sites/default/files/noindex/2023-06/Final-Report-of-the-NSW-Bushfire-Inquiry.pdf</vt:lpwstr>
      </vt:variant>
      <vt:variant>
        <vt:lpwstr/>
      </vt:variant>
      <vt:variant>
        <vt:i4>2883605</vt:i4>
      </vt:variant>
      <vt:variant>
        <vt:i4>21</vt:i4>
      </vt:variant>
      <vt:variant>
        <vt:i4>0</vt:i4>
      </vt:variant>
      <vt:variant>
        <vt:i4>5</vt:i4>
      </vt:variant>
      <vt:variant>
        <vt:lpwstr>https://view.officeapps.live.com/op/view.aspx?src=https%3A%2F%2Fwww.acma.gov.au%2Fsites%2Fdefault%2Ffiles%2F2020-04%2FImpacts%2520of%2520the%25202019-20%2520bushfires%2520on%2520the%2520telecommunications%2520network_1.docx&amp;wdOrigin=BROWSELINK</vt:lpwstr>
      </vt:variant>
      <vt:variant>
        <vt:lpwstr/>
      </vt:variant>
      <vt:variant>
        <vt:i4>7536765</vt:i4>
      </vt:variant>
      <vt:variant>
        <vt:i4>18</vt:i4>
      </vt:variant>
      <vt:variant>
        <vt:i4>0</vt:i4>
      </vt:variant>
      <vt:variant>
        <vt:i4>5</vt:i4>
      </vt:variant>
      <vt:variant>
        <vt:lpwstr>https://www.nsw.gov.au/sites/default/files/noindex/2023-06/Final-Report-of-the-NSW-Bushfire-Inquiry.pdf</vt:lpwstr>
      </vt:variant>
      <vt:variant>
        <vt:lpwstr/>
      </vt:variant>
      <vt:variant>
        <vt:i4>8323134</vt:i4>
      </vt:variant>
      <vt:variant>
        <vt:i4>15</vt:i4>
      </vt:variant>
      <vt:variant>
        <vt:i4>0</vt:i4>
      </vt:variant>
      <vt:variant>
        <vt:i4>5</vt:i4>
      </vt:variant>
      <vt:variant>
        <vt:lpwstr>https://news.viasat.com/blog/corporate/ka-sat-network-cyber-attack-overview</vt:lpwstr>
      </vt:variant>
      <vt:variant>
        <vt:lpwstr/>
      </vt:variant>
      <vt:variant>
        <vt:i4>6881389</vt:i4>
      </vt:variant>
      <vt:variant>
        <vt:i4>12</vt:i4>
      </vt:variant>
      <vt:variant>
        <vt:i4>0</vt:i4>
      </vt:variant>
      <vt:variant>
        <vt:i4>5</vt:i4>
      </vt:variant>
      <vt:variant>
        <vt:lpwstr>https://cyberconflicts.cyberpeaceinstitute.org/law-and-policy/cases/viasat</vt:lpwstr>
      </vt:variant>
      <vt:variant>
        <vt:lpwstr/>
      </vt:variant>
      <vt:variant>
        <vt:i4>6225996</vt:i4>
      </vt:variant>
      <vt:variant>
        <vt:i4>9</vt:i4>
      </vt:variant>
      <vt:variant>
        <vt:i4>0</vt:i4>
      </vt:variant>
      <vt:variant>
        <vt:i4>5</vt:i4>
      </vt:variant>
      <vt:variant>
        <vt:lpwstr>https://www.slatergordon.com.au/media/slater-and-gordon-commences-class-action-against-optus-over-data-breach</vt:lpwstr>
      </vt:variant>
      <vt:variant>
        <vt:lpwstr/>
      </vt:variant>
      <vt:variant>
        <vt:i4>589947</vt:i4>
      </vt:variant>
      <vt:variant>
        <vt:i4>6</vt:i4>
      </vt:variant>
      <vt:variant>
        <vt:i4>0</vt:i4>
      </vt:variant>
      <vt:variant>
        <vt:i4>5</vt:i4>
      </vt:variant>
      <vt:variant>
        <vt:lpwstr>https://www.optus.com.au/content/dam/optus/documents/about-us/media-centre/financial-reports/2022/halfyear_optus.pdf</vt:lpwstr>
      </vt:variant>
      <vt:variant>
        <vt:lpwstr/>
      </vt:variant>
      <vt:variant>
        <vt:i4>131087</vt:i4>
      </vt:variant>
      <vt:variant>
        <vt:i4>3</vt:i4>
      </vt:variant>
      <vt:variant>
        <vt:i4>0</vt:i4>
      </vt:variant>
      <vt:variant>
        <vt:i4>5</vt:i4>
      </vt:variant>
      <vt:variant>
        <vt:lpwstr>https://www.qld.gov.au/community/your-home-community/cyber-security/cyber-security-for-queenslanders/case-studies/optus-data-breach</vt:lpwstr>
      </vt:variant>
      <vt:variant>
        <vt:lpwstr>:~:text=In%20September%202022%2C%20a%20cyber,phone%20numbers%2C%20and%20email%20addresses.</vt:lpwstr>
      </vt:variant>
      <vt:variant>
        <vt:i4>2293868</vt:i4>
      </vt:variant>
      <vt:variant>
        <vt:i4>0</vt:i4>
      </vt:variant>
      <vt:variant>
        <vt:i4>0</vt:i4>
      </vt:variant>
      <vt:variant>
        <vt:i4>5</vt:i4>
      </vt:variant>
      <vt:variant>
        <vt:lpwstr>https://www.infrastructureaustralia.gov.au/australian-infrastructure-audit-2019-telecommunications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2025-03-11T23:03:00Z</dcterms:created>
  <dcterms:modified xsi:type="dcterms:W3CDTF">2025-03-11T23:05:00Z</dcterms:modified>
</cp:coreProperties>
</file>