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65"/>
        <w:tblW w:w="0" w:type="auto"/>
        <w:tblBorders>
          <w:top w:val="none" w:sz="0" w:space="0" w:color="auto"/>
          <w:bottom w:val="none" w:sz="0" w:space="0" w:color="auto"/>
        </w:tblBorders>
        <w:tblLook w:val="0400" w:firstRow="0" w:lastRow="0" w:firstColumn="0" w:lastColumn="0" w:noHBand="0" w:noVBand="1"/>
      </w:tblPr>
      <w:tblGrid>
        <w:gridCol w:w="9026"/>
      </w:tblGrid>
      <w:tr w:rsidR="00E461B8" w:rsidRPr="005D4886" w14:paraId="2AC81EEF" w14:textId="77777777" w:rsidTr="00B740AF">
        <w:trPr>
          <w:trHeight w:val="3235"/>
        </w:trPr>
        <w:tc>
          <w:tcPr>
            <w:tcW w:w="9026" w:type="dxa"/>
          </w:tcPr>
          <w:p w14:paraId="6DDC5CD3" w14:textId="77777777" w:rsidR="00E461B8" w:rsidRPr="005D4886" w:rsidRDefault="00E461B8" w:rsidP="00F05000">
            <w:pPr>
              <w:spacing w:before="120" w:after="120"/>
              <w:rPr>
                <w:sz w:val="18"/>
                <w:szCs w:val="20"/>
              </w:rPr>
            </w:pPr>
            <w:bookmarkStart w:id="0" w:name="_Hlk118467604"/>
            <w:bookmarkStart w:id="1" w:name="_Toc95806697"/>
            <w:bookmarkStart w:id="2" w:name="_GoBack"/>
            <w:bookmarkEnd w:id="0"/>
            <w:bookmarkEnd w:id="2"/>
            <w:r w:rsidRPr="005D4886">
              <w:rPr>
                <w:noProof/>
                <w:sz w:val="18"/>
                <w:szCs w:val="20"/>
                <w:lang w:eastAsia="en-AU"/>
              </w:rPr>
              <w:drawing>
                <wp:inline distT="0" distB="0" distL="0" distR="0" wp14:anchorId="25F572E8" wp14:editId="5445EF8B">
                  <wp:extent cx="3243648" cy="1200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C_Logo_Stacked_RGB_Positive2.png"/>
                          <pic:cNvPicPr/>
                        </pic:nvPicPr>
                        <pic:blipFill>
                          <a:blip r:embed="rId8">
                            <a:extLst>
                              <a:ext uri="{28A0092B-C50C-407E-A947-70E740481C1C}">
                                <a14:useLocalDpi xmlns:a14="http://schemas.microsoft.com/office/drawing/2010/main" val="0"/>
                              </a:ext>
                            </a:extLst>
                          </a:blip>
                          <a:stretch>
                            <a:fillRect/>
                          </a:stretch>
                        </pic:blipFill>
                        <pic:spPr>
                          <a:xfrm>
                            <a:off x="0" y="0"/>
                            <a:ext cx="3253555" cy="1203816"/>
                          </a:xfrm>
                          <a:prstGeom prst="rect">
                            <a:avLst/>
                          </a:prstGeom>
                        </pic:spPr>
                      </pic:pic>
                    </a:graphicData>
                  </a:graphic>
                </wp:inline>
              </w:drawing>
            </w:r>
            <w:bookmarkEnd w:id="1"/>
          </w:p>
          <w:p w14:paraId="39E1E983" w14:textId="77777777" w:rsidR="00E461B8" w:rsidRPr="005D4886" w:rsidRDefault="00E461B8" w:rsidP="00F05000">
            <w:pPr>
              <w:pStyle w:val="Heading1"/>
              <w:numPr>
                <w:ilvl w:val="0"/>
                <w:numId w:val="0"/>
              </w:numPr>
              <w:spacing w:before="120" w:after="120"/>
              <w:ind w:left="432"/>
              <w:outlineLvl w:val="0"/>
              <w:rPr>
                <w:sz w:val="32"/>
                <w:szCs w:val="24"/>
              </w:rPr>
            </w:pPr>
          </w:p>
        </w:tc>
      </w:tr>
      <w:tr w:rsidR="00E461B8" w:rsidRPr="005D4886" w14:paraId="6778F36D" w14:textId="77777777" w:rsidTr="00B740AF">
        <w:trPr>
          <w:trHeight w:val="2294"/>
        </w:trPr>
        <w:tc>
          <w:tcPr>
            <w:tcW w:w="9026" w:type="dxa"/>
          </w:tcPr>
          <w:p w14:paraId="304C41DB" w14:textId="77777777" w:rsidR="00FE01B9" w:rsidRDefault="00E461B8" w:rsidP="00F05000">
            <w:pPr>
              <w:pStyle w:val="Subtitle"/>
              <w:spacing w:before="120" w:after="120"/>
              <w:rPr>
                <w:sz w:val="56"/>
                <w:szCs w:val="56"/>
              </w:rPr>
            </w:pPr>
            <w:bookmarkStart w:id="3" w:name="_Toc99466185"/>
            <w:r w:rsidRPr="008D02E9">
              <w:rPr>
                <w:sz w:val="56"/>
                <w:szCs w:val="56"/>
              </w:rPr>
              <w:t xml:space="preserve">Toppling </w:t>
            </w:r>
            <w:r w:rsidR="00B10695" w:rsidRPr="008D02E9">
              <w:rPr>
                <w:sz w:val="56"/>
                <w:szCs w:val="56"/>
              </w:rPr>
              <w:t>f</w:t>
            </w:r>
            <w:r w:rsidRPr="008D02E9">
              <w:rPr>
                <w:sz w:val="56"/>
                <w:szCs w:val="56"/>
              </w:rPr>
              <w:t>urniture</w:t>
            </w:r>
            <w:bookmarkEnd w:id="3"/>
            <w:r w:rsidRPr="008D02E9">
              <w:rPr>
                <w:sz w:val="56"/>
                <w:szCs w:val="56"/>
              </w:rPr>
              <w:t xml:space="preserve"> </w:t>
            </w:r>
            <w:r w:rsidR="00D90E57">
              <w:rPr>
                <w:sz w:val="56"/>
                <w:szCs w:val="56"/>
              </w:rPr>
              <w:t>decision</w:t>
            </w:r>
          </w:p>
          <w:p w14:paraId="0F0F0701" w14:textId="598A78E1" w:rsidR="00B10695" w:rsidRPr="008D02E9" w:rsidRDefault="00E90E46" w:rsidP="00F05000">
            <w:pPr>
              <w:pStyle w:val="Subtitle"/>
              <w:spacing w:before="120" w:after="120"/>
              <w:rPr>
                <w:sz w:val="56"/>
                <w:szCs w:val="56"/>
              </w:rPr>
            </w:pPr>
            <w:r>
              <w:rPr>
                <w:sz w:val="56"/>
                <w:szCs w:val="56"/>
              </w:rPr>
              <w:t>f</w:t>
            </w:r>
            <w:r w:rsidR="000E6C37">
              <w:rPr>
                <w:sz w:val="56"/>
                <w:szCs w:val="56"/>
              </w:rPr>
              <w:t xml:space="preserve">inal </w:t>
            </w:r>
            <w:r>
              <w:rPr>
                <w:sz w:val="56"/>
                <w:szCs w:val="56"/>
              </w:rPr>
              <w:t>r</w:t>
            </w:r>
            <w:r w:rsidR="000E6C37">
              <w:rPr>
                <w:sz w:val="56"/>
                <w:szCs w:val="56"/>
              </w:rPr>
              <w:t>ecommendation to the Minister</w:t>
            </w:r>
          </w:p>
          <w:p w14:paraId="5A577038" w14:textId="4E8C588D" w:rsidR="00E461B8" w:rsidRPr="005D4886" w:rsidRDefault="00E461B8" w:rsidP="00F05000">
            <w:pPr>
              <w:pStyle w:val="Heading1"/>
              <w:numPr>
                <w:ilvl w:val="0"/>
                <w:numId w:val="0"/>
              </w:numPr>
              <w:spacing w:before="120" w:after="120"/>
              <w:jc w:val="both"/>
              <w:outlineLvl w:val="0"/>
              <w:rPr>
                <w:sz w:val="56"/>
                <w:szCs w:val="56"/>
              </w:rPr>
            </w:pPr>
          </w:p>
        </w:tc>
      </w:tr>
      <w:tr w:rsidR="00E461B8" w:rsidRPr="005D4886" w14:paraId="32CE0DD5" w14:textId="77777777" w:rsidTr="00B740AF">
        <w:tc>
          <w:tcPr>
            <w:tcW w:w="9026" w:type="dxa"/>
          </w:tcPr>
          <w:p w14:paraId="573E8FE6" w14:textId="77777777" w:rsidR="00E461B8" w:rsidRPr="005D4886" w:rsidRDefault="00E461B8" w:rsidP="00F05000">
            <w:pPr>
              <w:spacing w:before="120" w:after="120"/>
              <w:rPr>
                <w:sz w:val="18"/>
                <w:szCs w:val="20"/>
              </w:rPr>
            </w:pPr>
          </w:p>
          <w:p w14:paraId="162345F8" w14:textId="44D9CCE6" w:rsidR="00E461B8" w:rsidRPr="005D4886" w:rsidRDefault="00B14F04" w:rsidP="00F05000">
            <w:pPr>
              <w:pStyle w:val="CoverDate"/>
              <w:spacing w:before="120" w:after="120"/>
              <w:rPr>
                <w:sz w:val="22"/>
                <w:szCs w:val="22"/>
              </w:rPr>
            </w:pPr>
            <w:r>
              <w:rPr>
                <w:sz w:val="22"/>
                <w:szCs w:val="22"/>
              </w:rPr>
              <w:t>February</w:t>
            </w:r>
            <w:r w:rsidR="007A784E">
              <w:rPr>
                <w:sz w:val="22"/>
                <w:szCs w:val="22"/>
              </w:rPr>
              <w:t xml:space="preserve"> </w:t>
            </w:r>
            <w:r w:rsidR="00E461B8" w:rsidRPr="005D4886">
              <w:rPr>
                <w:sz w:val="22"/>
                <w:szCs w:val="22"/>
              </w:rPr>
              <w:t>202</w:t>
            </w:r>
            <w:r w:rsidR="007A784E">
              <w:rPr>
                <w:sz w:val="22"/>
                <w:szCs w:val="22"/>
              </w:rPr>
              <w:t>3</w:t>
            </w:r>
          </w:p>
          <w:p w14:paraId="624005A5" w14:textId="6DBEB974" w:rsidR="00E461B8" w:rsidRPr="005D4886" w:rsidRDefault="00E461B8" w:rsidP="00F05000">
            <w:pPr>
              <w:pStyle w:val="CoverDate"/>
              <w:spacing w:before="120" w:after="120"/>
              <w:rPr>
                <w:sz w:val="22"/>
                <w:szCs w:val="22"/>
              </w:rPr>
            </w:pPr>
          </w:p>
          <w:p w14:paraId="4F4F3D85" w14:textId="1E8E3A32" w:rsidR="00236C1C" w:rsidRPr="005D4886" w:rsidRDefault="000E6C37" w:rsidP="00F05000">
            <w:pPr>
              <w:pStyle w:val="CoverDate"/>
              <w:spacing w:before="120" w:after="120"/>
              <w:rPr>
                <w:sz w:val="22"/>
                <w:szCs w:val="22"/>
              </w:rPr>
            </w:pPr>
            <w:r w:rsidRPr="005D4886">
              <w:rPr>
                <w:noProof/>
                <w:lang w:eastAsia="en-AU"/>
              </w:rPr>
              <w:drawing>
                <wp:inline distT="0" distB="0" distL="0" distR="0" wp14:anchorId="65D173E7" wp14:editId="2F58620D">
                  <wp:extent cx="4953000" cy="2834666"/>
                  <wp:effectExtent l="0" t="0" r="0" b="3810"/>
                  <wp:docPr id="44" name="Picture 44" descr="C:\Users\aford\AppData\Local\Microsoft\Windows\INetCache\Content.Word\FACEBOOK-Toppling-Furniture-kills-one-each-y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ord\AppData\Local\Microsoft\Windows\INetCache\Content.Word\FACEBOOK-Toppling-Furniture-kills-one-each-yea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3707" cy="2846517"/>
                          </a:xfrm>
                          <a:prstGeom prst="rect">
                            <a:avLst/>
                          </a:prstGeom>
                          <a:noFill/>
                          <a:ln>
                            <a:noFill/>
                          </a:ln>
                        </pic:spPr>
                      </pic:pic>
                    </a:graphicData>
                  </a:graphic>
                </wp:inline>
              </w:drawing>
            </w:r>
          </w:p>
          <w:p w14:paraId="4D2580E1" w14:textId="5B740549" w:rsidR="00E461B8" w:rsidRPr="005D4886" w:rsidRDefault="00E461B8" w:rsidP="00F05000">
            <w:pPr>
              <w:pStyle w:val="CoverDate"/>
              <w:spacing w:before="120" w:after="120"/>
              <w:jc w:val="center"/>
              <w:rPr>
                <w:sz w:val="22"/>
                <w:szCs w:val="22"/>
              </w:rPr>
            </w:pPr>
          </w:p>
        </w:tc>
      </w:tr>
    </w:tbl>
    <w:sdt>
      <w:sdtPr>
        <w:id w:val="1813676158"/>
        <w:docPartObj>
          <w:docPartGallery w:val="Cover Pages"/>
          <w:docPartUnique/>
        </w:docPartObj>
      </w:sdtPr>
      <w:sdtEndPr>
        <w:rPr>
          <w:rFonts w:asciiTheme="majorHAnsi" w:hAnsiTheme="majorHAnsi" w:cstheme="minorHAnsi"/>
          <w:color w:val="410099" w:themeColor="accent1"/>
          <w:sz w:val="32"/>
          <w:szCs w:val="32"/>
        </w:rPr>
      </w:sdtEndPr>
      <w:sdtContent>
        <w:p w14:paraId="63807F46" w14:textId="3C27B1B9" w:rsidR="00853246" w:rsidRPr="00C1120A" w:rsidRDefault="00853246" w:rsidP="00C1120A">
          <w:pPr>
            <w:rPr>
              <w:rStyle w:val="Heading1Char"/>
              <w:rFonts w:ascii="Arial" w:eastAsiaTheme="minorHAnsi" w:hAnsi="Arial" w:cstheme="minorBidi"/>
              <w:bCs w:val="0"/>
              <w:color w:val="auto"/>
              <w:sz w:val="22"/>
              <w:szCs w:val="22"/>
            </w:rPr>
          </w:pPr>
          <w:r>
            <w:rPr>
              <w:rStyle w:val="Heading1Char"/>
            </w:rPr>
            <w:br w:type="page"/>
          </w:r>
        </w:p>
        <w:p w14:paraId="5631C3F1" w14:textId="780B0248" w:rsidR="007705C2" w:rsidRPr="00C1120A" w:rsidRDefault="007705C2" w:rsidP="00C1120A">
          <w:pPr>
            <w:rPr>
              <w:b/>
              <w:sz w:val="18"/>
              <w:szCs w:val="18"/>
            </w:rPr>
          </w:pPr>
          <w:r w:rsidRPr="00C1120A">
            <w:rPr>
              <w:b/>
              <w:sz w:val="18"/>
              <w:szCs w:val="18"/>
            </w:rPr>
            <w:lastRenderedPageBreak/>
            <w:t xml:space="preserve">Acknowledgment </w:t>
          </w:r>
        </w:p>
        <w:p w14:paraId="16BC8661" w14:textId="15CFEE73" w:rsidR="007705C2" w:rsidRPr="00C1120A" w:rsidRDefault="007705C2" w:rsidP="00C1120A">
          <w:pPr>
            <w:rPr>
              <w:sz w:val="18"/>
              <w:szCs w:val="18"/>
            </w:rPr>
          </w:pPr>
          <w:r w:rsidRPr="00C1120A">
            <w:rPr>
              <w:sz w:val="18"/>
              <w:szCs w:val="18"/>
            </w:rPr>
            <w:t xml:space="preserve">This Final Recommendation includes data collected by the Australian Competition and Consumer Commission (ACCC), </w:t>
          </w:r>
          <w:r w:rsidR="0089411D">
            <w:rPr>
              <w:sz w:val="18"/>
              <w:szCs w:val="18"/>
            </w:rPr>
            <w:t xml:space="preserve">health services, </w:t>
          </w:r>
          <w:r w:rsidRPr="00C1120A">
            <w:rPr>
              <w:sz w:val="18"/>
              <w:szCs w:val="18"/>
            </w:rPr>
            <w:t xml:space="preserve">state and territory consumer protection and fair-trading agencies, </w:t>
          </w:r>
          <w:r w:rsidR="006869BE">
            <w:rPr>
              <w:sz w:val="18"/>
              <w:szCs w:val="18"/>
            </w:rPr>
            <w:t xml:space="preserve">stakeholders </w:t>
          </w:r>
          <w:r w:rsidRPr="00C1120A">
            <w:rPr>
              <w:sz w:val="18"/>
              <w:szCs w:val="18"/>
            </w:rPr>
            <w:t xml:space="preserve">and international organisations. The ACCC acknowledges the assistance and cooperative effort contributed by </w:t>
          </w:r>
          <w:r w:rsidR="006869BE">
            <w:rPr>
              <w:sz w:val="18"/>
              <w:szCs w:val="18"/>
            </w:rPr>
            <w:t xml:space="preserve">individuals and </w:t>
          </w:r>
          <w:r w:rsidRPr="00C1120A">
            <w:rPr>
              <w:sz w:val="18"/>
              <w:szCs w:val="18"/>
            </w:rPr>
            <w:t xml:space="preserve">officers within these agencies which has enabled a collaborative response to this important safety issue. </w:t>
          </w:r>
        </w:p>
        <w:p w14:paraId="72CDB46F" w14:textId="219FDA50" w:rsidR="007705C2" w:rsidRPr="00C1120A" w:rsidRDefault="007705C2" w:rsidP="00C1120A">
          <w:pPr>
            <w:rPr>
              <w:sz w:val="18"/>
              <w:szCs w:val="18"/>
            </w:rPr>
          </w:pPr>
          <w:r w:rsidRPr="00C1120A">
            <w:rPr>
              <w:sz w:val="18"/>
              <w:szCs w:val="18"/>
            </w:rPr>
            <w:t xml:space="preserve">The ACCC acknowledges the courage of </w:t>
          </w:r>
          <w:r w:rsidR="00E20587" w:rsidRPr="00C1120A">
            <w:rPr>
              <w:sz w:val="18"/>
              <w:szCs w:val="18"/>
            </w:rPr>
            <w:t xml:space="preserve">caregivers </w:t>
          </w:r>
          <w:r w:rsidRPr="00C1120A">
            <w:rPr>
              <w:sz w:val="18"/>
              <w:szCs w:val="18"/>
            </w:rPr>
            <w:t xml:space="preserve">affected by </w:t>
          </w:r>
          <w:r w:rsidR="0038785D" w:rsidRPr="00C1120A">
            <w:rPr>
              <w:sz w:val="18"/>
              <w:szCs w:val="18"/>
            </w:rPr>
            <w:t>toppling furniture</w:t>
          </w:r>
          <w:r w:rsidRPr="00C1120A">
            <w:rPr>
              <w:sz w:val="18"/>
              <w:szCs w:val="18"/>
            </w:rPr>
            <w:t xml:space="preserve"> related injuries and deaths in campaigning for reform. In particular, the ACCC acknowledges and thanks </w:t>
          </w:r>
          <w:r w:rsidR="00ED7486" w:rsidRPr="00C1120A">
            <w:rPr>
              <w:sz w:val="18"/>
              <w:szCs w:val="18"/>
            </w:rPr>
            <w:t xml:space="preserve">the family of Reef Kite and the </w:t>
          </w:r>
          <w:r w:rsidR="00F41A30" w:rsidRPr="00C1120A">
            <w:rPr>
              <w:sz w:val="18"/>
              <w:szCs w:val="18"/>
            </w:rPr>
            <w:t>‘</w:t>
          </w:r>
          <w:r w:rsidR="00ED7486" w:rsidRPr="00C1120A">
            <w:rPr>
              <w:sz w:val="18"/>
              <w:szCs w:val="18"/>
            </w:rPr>
            <w:t xml:space="preserve">Bolt it </w:t>
          </w:r>
          <w:r w:rsidR="00B65888" w:rsidRPr="00C1120A">
            <w:rPr>
              <w:sz w:val="18"/>
              <w:szCs w:val="18"/>
            </w:rPr>
            <w:t>b</w:t>
          </w:r>
          <w:r w:rsidR="00ED7486" w:rsidRPr="00C1120A">
            <w:rPr>
              <w:sz w:val="18"/>
              <w:szCs w:val="18"/>
            </w:rPr>
            <w:t>ack for Reef</w:t>
          </w:r>
          <w:r w:rsidR="00F41A30" w:rsidRPr="00C1120A">
            <w:rPr>
              <w:sz w:val="18"/>
              <w:szCs w:val="18"/>
            </w:rPr>
            <w:t>’</w:t>
          </w:r>
          <w:r w:rsidR="00ED7486" w:rsidRPr="00C1120A">
            <w:rPr>
              <w:sz w:val="18"/>
              <w:szCs w:val="18"/>
            </w:rPr>
            <w:t xml:space="preserve"> campaign</w:t>
          </w:r>
          <w:r w:rsidRPr="00C1120A">
            <w:rPr>
              <w:sz w:val="18"/>
              <w:szCs w:val="18"/>
            </w:rPr>
            <w:t xml:space="preserve">, for their ongoing efforts in bringing public attention to the safety risks of </w:t>
          </w:r>
          <w:r w:rsidR="00150583" w:rsidRPr="00C1120A">
            <w:rPr>
              <w:sz w:val="18"/>
              <w:szCs w:val="18"/>
            </w:rPr>
            <w:t>toppling furniture</w:t>
          </w:r>
          <w:r w:rsidRPr="00C1120A">
            <w:rPr>
              <w:sz w:val="18"/>
              <w:szCs w:val="18"/>
            </w:rPr>
            <w:t>.</w:t>
          </w:r>
        </w:p>
        <w:p w14:paraId="5F2FDFE3" w14:textId="4AACDF6C" w:rsidR="007705C2" w:rsidRPr="00C1120A" w:rsidRDefault="007705C2" w:rsidP="00C1120A">
          <w:pPr>
            <w:rPr>
              <w:sz w:val="18"/>
              <w:szCs w:val="18"/>
            </w:rPr>
          </w:pPr>
        </w:p>
        <w:p w14:paraId="6504063A" w14:textId="666FD0A9" w:rsidR="007705C2" w:rsidRPr="00C1120A" w:rsidRDefault="007705C2" w:rsidP="00C1120A">
          <w:pPr>
            <w:rPr>
              <w:sz w:val="18"/>
              <w:szCs w:val="18"/>
            </w:rPr>
          </w:pPr>
        </w:p>
        <w:p w14:paraId="6AA4CB51" w14:textId="4F18E028" w:rsidR="007705C2" w:rsidRPr="00C1120A" w:rsidRDefault="007705C2" w:rsidP="00C1120A">
          <w:pPr>
            <w:rPr>
              <w:sz w:val="18"/>
              <w:szCs w:val="18"/>
            </w:rPr>
          </w:pPr>
        </w:p>
        <w:p w14:paraId="24A86536" w14:textId="77777777" w:rsidR="007705C2" w:rsidRPr="00C1120A" w:rsidRDefault="007705C2" w:rsidP="00C1120A">
          <w:pPr>
            <w:rPr>
              <w:sz w:val="18"/>
              <w:szCs w:val="18"/>
            </w:rPr>
          </w:pPr>
        </w:p>
        <w:p w14:paraId="17292AE7" w14:textId="77777777" w:rsidR="00CC7A13" w:rsidRPr="00C1120A" w:rsidRDefault="00CC7A13" w:rsidP="00C1120A">
          <w:pPr>
            <w:rPr>
              <w:sz w:val="18"/>
              <w:szCs w:val="18"/>
            </w:rPr>
          </w:pPr>
          <w:bookmarkStart w:id="4" w:name="_Toc115342136"/>
          <w:bookmarkStart w:id="5" w:name="_Toc116285537"/>
          <w:bookmarkStart w:id="6" w:name="_Toc116290630"/>
          <w:bookmarkStart w:id="7" w:name="_Toc117242751"/>
          <w:bookmarkStart w:id="8" w:name="_Toc117243021"/>
        </w:p>
        <w:p w14:paraId="60DADB85" w14:textId="36A3EA6F" w:rsidR="00CC7A13" w:rsidRDefault="00CC7A13" w:rsidP="00C1120A">
          <w:pPr>
            <w:rPr>
              <w:sz w:val="18"/>
              <w:szCs w:val="18"/>
            </w:rPr>
          </w:pPr>
        </w:p>
        <w:p w14:paraId="49656F7A" w14:textId="434521E9" w:rsidR="00A254F3" w:rsidRDefault="00A254F3" w:rsidP="00C1120A">
          <w:pPr>
            <w:rPr>
              <w:sz w:val="18"/>
              <w:szCs w:val="18"/>
            </w:rPr>
          </w:pPr>
        </w:p>
        <w:p w14:paraId="4E32CF7F" w14:textId="7EEEEA5A" w:rsidR="00A254F3" w:rsidRDefault="00A254F3" w:rsidP="00C1120A">
          <w:pPr>
            <w:rPr>
              <w:sz w:val="18"/>
              <w:szCs w:val="18"/>
            </w:rPr>
          </w:pPr>
        </w:p>
        <w:p w14:paraId="2EA167D2" w14:textId="77777777" w:rsidR="00A254F3" w:rsidRPr="00C1120A" w:rsidRDefault="00A254F3" w:rsidP="00C1120A">
          <w:pPr>
            <w:rPr>
              <w:sz w:val="18"/>
              <w:szCs w:val="18"/>
            </w:rPr>
          </w:pPr>
        </w:p>
        <w:p w14:paraId="33754018" w14:textId="77777777" w:rsidR="00CC7A13" w:rsidRPr="00C1120A" w:rsidRDefault="00CC7A13" w:rsidP="00C1120A">
          <w:pPr>
            <w:spacing w:before="0"/>
            <w:rPr>
              <w:sz w:val="18"/>
              <w:szCs w:val="18"/>
            </w:rPr>
          </w:pPr>
        </w:p>
        <w:p w14:paraId="3B2517AB" w14:textId="1A83F2F4" w:rsidR="007705C2" w:rsidRPr="00C1120A" w:rsidRDefault="007705C2" w:rsidP="00C1120A">
          <w:pPr>
            <w:spacing w:before="0"/>
            <w:rPr>
              <w:sz w:val="18"/>
              <w:szCs w:val="18"/>
            </w:rPr>
          </w:pPr>
          <w:r w:rsidRPr="00C1120A">
            <w:rPr>
              <w:sz w:val="18"/>
              <w:szCs w:val="18"/>
            </w:rPr>
            <w:t>Australian Competition and Consumer Commission</w:t>
          </w:r>
          <w:bookmarkEnd w:id="4"/>
          <w:bookmarkEnd w:id="5"/>
          <w:bookmarkEnd w:id="6"/>
          <w:bookmarkEnd w:id="7"/>
          <w:bookmarkEnd w:id="8"/>
        </w:p>
        <w:p w14:paraId="1909CF45" w14:textId="43751C60" w:rsidR="007705C2" w:rsidRPr="00C1120A" w:rsidRDefault="007705C2" w:rsidP="00C1120A">
          <w:pPr>
            <w:spacing w:before="0"/>
            <w:rPr>
              <w:sz w:val="18"/>
              <w:szCs w:val="18"/>
            </w:rPr>
          </w:pPr>
          <w:bookmarkStart w:id="9" w:name="_Toc115342137"/>
          <w:bookmarkStart w:id="10" w:name="_Toc116285538"/>
          <w:bookmarkStart w:id="11" w:name="_Toc116290631"/>
          <w:bookmarkStart w:id="12" w:name="_Toc117242752"/>
          <w:bookmarkStart w:id="13" w:name="_Toc117243022"/>
          <w:r w:rsidRPr="00C1120A">
            <w:rPr>
              <w:sz w:val="18"/>
              <w:szCs w:val="18"/>
            </w:rPr>
            <w:t>23 Marcus Clarke Street, Canberra, Australian Capital Territory, 2601</w:t>
          </w:r>
          <w:bookmarkEnd w:id="9"/>
          <w:bookmarkEnd w:id="10"/>
          <w:bookmarkEnd w:id="11"/>
          <w:bookmarkEnd w:id="12"/>
          <w:bookmarkEnd w:id="13"/>
        </w:p>
        <w:p w14:paraId="28613CDF" w14:textId="1DA7A517" w:rsidR="007705C2" w:rsidRPr="00C1120A" w:rsidRDefault="007705C2" w:rsidP="00C1120A">
          <w:pPr>
            <w:spacing w:before="0"/>
            <w:rPr>
              <w:sz w:val="18"/>
              <w:szCs w:val="18"/>
            </w:rPr>
          </w:pPr>
          <w:bookmarkStart w:id="14" w:name="_Toc115342138"/>
          <w:bookmarkStart w:id="15" w:name="_Toc116285539"/>
          <w:bookmarkStart w:id="16" w:name="_Toc116290632"/>
          <w:bookmarkStart w:id="17" w:name="_Toc117242753"/>
          <w:bookmarkStart w:id="18" w:name="_Toc117243023"/>
          <w:r w:rsidRPr="00C1120A">
            <w:rPr>
              <w:sz w:val="18"/>
              <w:szCs w:val="18"/>
            </w:rPr>
            <w:t>© Commonwealth of Australia 202</w:t>
          </w:r>
          <w:r w:rsidR="0038785D" w:rsidRPr="00C1120A">
            <w:rPr>
              <w:sz w:val="18"/>
              <w:szCs w:val="18"/>
            </w:rPr>
            <w:t>2</w:t>
          </w:r>
          <w:bookmarkEnd w:id="14"/>
          <w:bookmarkEnd w:id="15"/>
          <w:bookmarkEnd w:id="16"/>
          <w:bookmarkEnd w:id="17"/>
          <w:bookmarkEnd w:id="18"/>
        </w:p>
        <w:p w14:paraId="03B259A2" w14:textId="6C2555FE" w:rsidR="00B65888" w:rsidRPr="00C1120A" w:rsidRDefault="007705C2" w:rsidP="00C1120A">
          <w:pPr>
            <w:spacing w:before="0"/>
            <w:rPr>
              <w:sz w:val="18"/>
              <w:szCs w:val="18"/>
            </w:rPr>
          </w:pPr>
          <w:bookmarkStart w:id="19" w:name="_Toc115342139"/>
          <w:bookmarkStart w:id="20" w:name="_Toc116285540"/>
          <w:bookmarkStart w:id="21" w:name="_Toc116290633"/>
          <w:bookmarkStart w:id="22" w:name="_Toc117242754"/>
          <w:bookmarkStart w:id="23" w:name="_Toc117243024"/>
          <w:r w:rsidRPr="00C1120A">
            <w:rPr>
              <w:sz w:val="18"/>
              <w:szCs w:val="18"/>
            </w:rPr>
            <w:t>This work is copyright. In addition to any use permitted under the Copyright Act 1968, all material contained within this work is provided</w:t>
          </w:r>
          <w:r w:rsidR="00B65888" w:rsidRPr="00C1120A">
            <w:rPr>
              <w:sz w:val="18"/>
              <w:szCs w:val="18"/>
            </w:rPr>
            <w:t xml:space="preserve"> </w:t>
          </w:r>
          <w:r w:rsidRPr="00C1120A">
            <w:rPr>
              <w:sz w:val="18"/>
              <w:szCs w:val="18"/>
            </w:rPr>
            <w:t>under a Creative Commons Attribution 3.0 Australia licence, with the exception of:</w:t>
          </w:r>
          <w:bookmarkEnd w:id="19"/>
          <w:bookmarkEnd w:id="20"/>
          <w:bookmarkEnd w:id="21"/>
          <w:bookmarkEnd w:id="22"/>
          <w:bookmarkEnd w:id="23"/>
        </w:p>
        <w:p w14:paraId="6F0C46B0" w14:textId="77777777" w:rsidR="006274F9" w:rsidRPr="00E25434" w:rsidRDefault="007705C2" w:rsidP="00806096">
          <w:pPr>
            <w:pStyle w:val="ListParagraph"/>
            <w:numPr>
              <w:ilvl w:val="0"/>
              <w:numId w:val="50"/>
            </w:numPr>
            <w:spacing w:before="0"/>
            <w:rPr>
              <w:sz w:val="18"/>
              <w:szCs w:val="18"/>
            </w:rPr>
          </w:pPr>
          <w:bookmarkStart w:id="24" w:name="_Toc115342140"/>
          <w:bookmarkStart w:id="25" w:name="_Toc116285541"/>
          <w:bookmarkStart w:id="26" w:name="_Toc116290634"/>
          <w:bookmarkStart w:id="27" w:name="_Toc117242755"/>
          <w:bookmarkStart w:id="28" w:name="_Toc117243025"/>
          <w:r w:rsidRPr="00E25434">
            <w:rPr>
              <w:sz w:val="18"/>
              <w:szCs w:val="18"/>
            </w:rPr>
            <w:t>the Commonwealth Coat of Arms</w:t>
          </w:r>
          <w:bookmarkEnd w:id="24"/>
          <w:bookmarkEnd w:id="25"/>
          <w:bookmarkEnd w:id="26"/>
          <w:bookmarkEnd w:id="27"/>
          <w:bookmarkEnd w:id="28"/>
        </w:p>
        <w:p w14:paraId="74D7AA2B" w14:textId="02BE43BF" w:rsidR="00B65888" w:rsidRPr="00E25434" w:rsidRDefault="007705C2" w:rsidP="00806096">
          <w:pPr>
            <w:pStyle w:val="ListParagraph"/>
            <w:numPr>
              <w:ilvl w:val="0"/>
              <w:numId w:val="50"/>
            </w:numPr>
            <w:spacing w:before="0"/>
            <w:rPr>
              <w:sz w:val="18"/>
              <w:szCs w:val="18"/>
            </w:rPr>
          </w:pPr>
          <w:bookmarkStart w:id="29" w:name="_Toc115342141"/>
          <w:bookmarkStart w:id="30" w:name="_Toc116285542"/>
          <w:bookmarkStart w:id="31" w:name="_Toc116290635"/>
          <w:bookmarkStart w:id="32" w:name="_Toc117242756"/>
          <w:bookmarkStart w:id="33" w:name="_Toc117243026"/>
          <w:r w:rsidRPr="00E25434">
            <w:rPr>
              <w:sz w:val="18"/>
              <w:szCs w:val="18"/>
            </w:rPr>
            <w:t>the ACCC and AER logo</w:t>
          </w:r>
          <w:bookmarkEnd w:id="29"/>
          <w:bookmarkEnd w:id="30"/>
          <w:bookmarkEnd w:id="31"/>
          <w:bookmarkEnd w:id="32"/>
          <w:bookmarkEnd w:id="33"/>
        </w:p>
        <w:p w14:paraId="08CF3982" w14:textId="05E1C17B" w:rsidR="007705C2" w:rsidRPr="00E25434" w:rsidRDefault="007705C2" w:rsidP="00806096">
          <w:pPr>
            <w:pStyle w:val="ListParagraph"/>
            <w:numPr>
              <w:ilvl w:val="0"/>
              <w:numId w:val="50"/>
            </w:numPr>
            <w:spacing w:before="0"/>
            <w:rPr>
              <w:sz w:val="18"/>
              <w:szCs w:val="18"/>
            </w:rPr>
          </w:pPr>
          <w:bookmarkStart w:id="34" w:name="_Toc115342142"/>
          <w:bookmarkStart w:id="35" w:name="_Toc116285543"/>
          <w:bookmarkStart w:id="36" w:name="_Toc116290636"/>
          <w:bookmarkStart w:id="37" w:name="_Toc117242757"/>
          <w:bookmarkStart w:id="38" w:name="_Toc117243027"/>
          <w:r w:rsidRPr="00E25434">
            <w:rPr>
              <w:sz w:val="18"/>
              <w:szCs w:val="18"/>
            </w:rPr>
            <w:t>any illustration, diagram, photograph or graphic over which the Australian Competition and Consumer</w:t>
          </w:r>
          <w:r w:rsidR="00B65888" w:rsidRPr="00E25434">
            <w:rPr>
              <w:sz w:val="18"/>
              <w:szCs w:val="18"/>
            </w:rPr>
            <w:t xml:space="preserve"> </w:t>
          </w:r>
          <w:r w:rsidRPr="00E25434">
            <w:rPr>
              <w:sz w:val="18"/>
              <w:szCs w:val="18"/>
            </w:rPr>
            <w:t>Commission does not hold</w:t>
          </w:r>
          <w:r w:rsidR="0038785D" w:rsidRPr="00E25434">
            <w:rPr>
              <w:sz w:val="18"/>
              <w:szCs w:val="18"/>
            </w:rPr>
            <w:t xml:space="preserve"> </w:t>
          </w:r>
          <w:r w:rsidRPr="00E25434">
            <w:rPr>
              <w:sz w:val="18"/>
              <w:szCs w:val="18"/>
            </w:rPr>
            <w:t>copyright, but which may be part of or contained within this publication.</w:t>
          </w:r>
          <w:bookmarkEnd w:id="34"/>
          <w:bookmarkEnd w:id="35"/>
          <w:bookmarkEnd w:id="36"/>
          <w:bookmarkEnd w:id="37"/>
          <w:bookmarkEnd w:id="38"/>
        </w:p>
        <w:p w14:paraId="40A39AB1" w14:textId="2FFB1001" w:rsidR="0038785D" w:rsidRPr="00C1120A" w:rsidRDefault="007705C2" w:rsidP="00C1120A">
          <w:pPr>
            <w:spacing w:before="0"/>
            <w:rPr>
              <w:sz w:val="18"/>
              <w:szCs w:val="18"/>
            </w:rPr>
          </w:pPr>
          <w:bookmarkStart w:id="39" w:name="_Toc115342143"/>
          <w:bookmarkStart w:id="40" w:name="_Toc116285544"/>
          <w:bookmarkStart w:id="41" w:name="_Toc116290637"/>
          <w:bookmarkStart w:id="42" w:name="_Toc117242758"/>
          <w:bookmarkStart w:id="43" w:name="_Toc117243028"/>
          <w:r w:rsidRPr="00C1120A">
            <w:rPr>
              <w:sz w:val="18"/>
              <w:szCs w:val="18"/>
            </w:rPr>
            <w:t>The details of the relevant licence conditions are available on the Creative Commons website, as is the full legal code for the CC BY 3.0 AU</w:t>
          </w:r>
          <w:r w:rsidR="0038785D" w:rsidRPr="00C1120A">
            <w:rPr>
              <w:sz w:val="18"/>
              <w:szCs w:val="18"/>
            </w:rPr>
            <w:t xml:space="preserve"> </w:t>
          </w:r>
          <w:r w:rsidRPr="00C1120A">
            <w:rPr>
              <w:sz w:val="18"/>
              <w:szCs w:val="18"/>
            </w:rPr>
            <w:t>licence.</w:t>
          </w:r>
          <w:r w:rsidR="00B65888" w:rsidRPr="00C1120A">
            <w:rPr>
              <w:sz w:val="18"/>
              <w:szCs w:val="18"/>
            </w:rPr>
            <w:t xml:space="preserve"> </w:t>
          </w:r>
          <w:r w:rsidRPr="00C1120A">
            <w:rPr>
              <w:sz w:val="18"/>
              <w:szCs w:val="18"/>
            </w:rPr>
            <w:t>Requests and inquiries concerning reproduction and rights should be addressed to the Director, Content and Digital Services,</w:t>
          </w:r>
          <w:r w:rsidR="0038785D" w:rsidRPr="00C1120A">
            <w:rPr>
              <w:sz w:val="18"/>
              <w:szCs w:val="18"/>
            </w:rPr>
            <w:t xml:space="preserve"> </w:t>
          </w:r>
          <w:r w:rsidRPr="00C1120A">
            <w:rPr>
              <w:sz w:val="18"/>
              <w:szCs w:val="18"/>
            </w:rPr>
            <w:t>ACCC,</w:t>
          </w:r>
          <w:r w:rsidR="0038785D" w:rsidRPr="00C1120A">
            <w:rPr>
              <w:sz w:val="18"/>
              <w:szCs w:val="18"/>
            </w:rPr>
            <w:t xml:space="preserve"> </w:t>
          </w:r>
          <w:r w:rsidRPr="00C1120A">
            <w:rPr>
              <w:sz w:val="18"/>
              <w:szCs w:val="18"/>
            </w:rPr>
            <w:t>GPO Box 3131, Canberra ACT 2601.</w:t>
          </w:r>
          <w:bookmarkEnd w:id="39"/>
          <w:bookmarkEnd w:id="40"/>
          <w:bookmarkEnd w:id="41"/>
          <w:bookmarkEnd w:id="42"/>
          <w:bookmarkEnd w:id="43"/>
        </w:p>
        <w:p w14:paraId="2A83807E" w14:textId="37BF4AC1" w:rsidR="007705C2" w:rsidRPr="00C1120A" w:rsidRDefault="007705C2" w:rsidP="00C1120A">
          <w:pPr>
            <w:spacing w:before="0"/>
            <w:rPr>
              <w:b/>
              <w:sz w:val="18"/>
              <w:szCs w:val="18"/>
            </w:rPr>
          </w:pPr>
          <w:bookmarkStart w:id="44" w:name="_Toc115342144"/>
          <w:bookmarkStart w:id="45" w:name="_Toc116285545"/>
          <w:bookmarkStart w:id="46" w:name="_Toc116290638"/>
          <w:bookmarkStart w:id="47" w:name="_Toc117242759"/>
          <w:bookmarkStart w:id="48" w:name="_Toc117243029"/>
          <w:r w:rsidRPr="00C1120A">
            <w:rPr>
              <w:b/>
              <w:sz w:val="18"/>
              <w:szCs w:val="18"/>
            </w:rPr>
            <w:t>Important notice</w:t>
          </w:r>
          <w:bookmarkEnd w:id="44"/>
          <w:bookmarkEnd w:id="45"/>
          <w:bookmarkEnd w:id="46"/>
          <w:bookmarkEnd w:id="47"/>
          <w:bookmarkEnd w:id="48"/>
        </w:p>
        <w:p w14:paraId="3498C4D2" w14:textId="07750986" w:rsidR="0038785D" w:rsidRPr="00C1120A" w:rsidRDefault="007705C2" w:rsidP="00C1120A">
          <w:pPr>
            <w:spacing w:before="0"/>
            <w:rPr>
              <w:sz w:val="18"/>
              <w:szCs w:val="18"/>
            </w:rPr>
          </w:pPr>
          <w:bookmarkStart w:id="49" w:name="_Toc115342145"/>
          <w:bookmarkStart w:id="50" w:name="_Toc116285546"/>
          <w:bookmarkStart w:id="51" w:name="_Toc116290639"/>
          <w:bookmarkStart w:id="52" w:name="_Toc117242760"/>
          <w:bookmarkStart w:id="53" w:name="_Toc117243030"/>
          <w:r w:rsidRPr="00C1120A">
            <w:rPr>
              <w:sz w:val="18"/>
              <w:szCs w:val="18"/>
            </w:rPr>
            <w:t>The information in this publication is for general guidance only. It does not constitute legal or other professional advice, and should not be</w:t>
          </w:r>
          <w:r w:rsidR="0038785D" w:rsidRPr="00C1120A">
            <w:rPr>
              <w:sz w:val="18"/>
              <w:szCs w:val="18"/>
            </w:rPr>
            <w:t xml:space="preserve"> </w:t>
          </w:r>
          <w:r w:rsidRPr="00C1120A">
            <w:rPr>
              <w:sz w:val="18"/>
              <w:szCs w:val="18"/>
            </w:rPr>
            <w:t>relied on as a statement of the law in any jurisdiction. Because it is intended only as a general guide, it may contain generalisations. You</w:t>
          </w:r>
          <w:r w:rsidR="0038785D" w:rsidRPr="00C1120A">
            <w:rPr>
              <w:sz w:val="18"/>
              <w:szCs w:val="18"/>
            </w:rPr>
            <w:t xml:space="preserve"> </w:t>
          </w:r>
          <w:r w:rsidRPr="00C1120A">
            <w:rPr>
              <w:sz w:val="18"/>
              <w:szCs w:val="18"/>
            </w:rPr>
            <w:t>should obtain professional advice if you have any specific concern.</w:t>
          </w:r>
          <w:bookmarkEnd w:id="49"/>
          <w:bookmarkEnd w:id="50"/>
          <w:bookmarkEnd w:id="51"/>
          <w:bookmarkEnd w:id="52"/>
          <w:bookmarkEnd w:id="53"/>
        </w:p>
        <w:p w14:paraId="09D99071" w14:textId="33E230C0" w:rsidR="0038785D" w:rsidRPr="00C1120A" w:rsidRDefault="007705C2" w:rsidP="00C1120A">
          <w:pPr>
            <w:spacing w:before="0"/>
            <w:rPr>
              <w:sz w:val="18"/>
              <w:szCs w:val="18"/>
            </w:rPr>
          </w:pPr>
          <w:bookmarkStart w:id="54" w:name="_Toc115342146"/>
          <w:bookmarkStart w:id="55" w:name="_Toc116285547"/>
          <w:bookmarkStart w:id="56" w:name="_Toc116290640"/>
          <w:bookmarkStart w:id="57" w:name="_Toc117242761"/>
          <w:bookmarkStart w:id="58" w:name="_Toc117243031"/>
          <w:r w:rsidRPr="00C1120A">
            <w:rPr>
              <w:sz w:val="18"/>
              <w:szCs w:val="18"/>
            </w:rPr>
            <w:t>The ACCC has made every reasonable effort to provide current and accurate information, but it does not make any guarantees regarding</w:t>
          </w:r>
          <w:r w:rsidR="0038785D" w:rsidRPr="00C1120A">
            <w:rPr>
              <w:sz w:val="18"/>
              <w:szCs w:val="18"/>
            </w:rPr>
            <w:t xml:space="preserve"> </w:t>
          </w:r>
          <w:r w:rsidRPr="00C1120A">
            <w:rPr>
              <w:sz w:val="18"/>
              <w:szCs w:val="18"/>
            </w:rPr>
            <w:t>the accuracy, currency or completeness of that information.</w:t>
          </w:r>
          <w:bookmarkEnd w:id="54"/>
          <w:bookmarkEnd w:id="55"/>
          <w:bookmarkEnd w:id="56"/>
          <w:bookmarkEnd w:id="57"/>
          <w:bookmarkEnd w:id="58"/>
        </w:p>
        <w:p w14:paraId="5FC6A89B" w14:textId="2F3CA05A" w:rsidR="0038785D" w:rsidRPr="00C1120A" w:rsidRDefault="007705C2" w:rsidP="00C1120A">
          <w:pPr>
            <w:spacing w:before="0"/>
            <w:rPr>
              <w:sz w:val="18"/>
              <w:szCs w:val="18"/>
            </w:rPr>
          </w:pPr>
          <w:bookmarkStart w:id="59" w:name="_Toc115342147"/>
          <w:bookmarkStart w:id="60" w:name="_Toc116285548"/>
          <w:bookmarkStart w:id="61" w:name="_Toc116290641"/>
          <w:bookmarkStart w:id="62" w:name="_Toc117242762"/>
          <w:bookmarkStart w:id="63" w:name="_Toc117243032"/>
          <w:r w:rsidRPr="00C1120A">
            <w:rPr>
              <w:sz w:val="18"/>
              <w:szCs w:val="18"/>
            </w:rPr>
            <w:t>Parties who wish to re-publish or otherwise use the information in this publication must check this information for currency and accuracy</w:t>
          </w:r>
          <w:r w:rsidR="0038785D" w:rsidRPr="00C1120A">
            <w:rPr>
              <w:sz w:val="18"/>
              <w:szCs w:val="18"/>
            </w:rPr>
            <w:t xml:space="preserve"> </w:t>
          </w:r>
          <w:r w:rsidRPr="00C1120A">
            <w:rPr>
              <w:sz w:val="18"/>
              <w:szCs w:val="18"/>
            </w:rPr>
            <w:t>prior to publication. This should be done prior to each publication edition, as ACCC guidance and relevant transitional legislation</w:t>
          </w:r>
          <w:r w:rsidR="0038785D" w:rsidRPr="00C1120A">
            <w:rPr>
              <w:sz w:val="18"/>
              <w:szCs w:val="18"/>
            </w:rPr>
            <w:t xml:space="preserve"> </w:t>
          </w:r>
          <w:r w:rsidRPr="00C1120A">
            <w:rPr>
              <w:sz w:val="18"/>
              <w:szCs w:val="18"/>
            </w:rPr>
            <w:t>frequently change. Any queries parties have should be addressed to the Director, Content and Digital Services, ACCC, GPO Box 3131,</w:t>
          </w:r>
          <w:bookmarkEnd w:id="59"/>
          <w:bookmarkEnd w:id="60"/>
          <w:bookmarkEnd w:id="61"/>
          <w:bookmarkEnd w:id="62"/>
          <w:bookmarkEnd w:id="63"/>
          <w:r w:rsidR="00F41A30" w:rsidRPr="00C1120A">
            <w:rPr>
              <w:sz w:val="18"/>
              <w:szCs w:val="18"/>
            </w:rPr>
            <w:t xml:space="preserve"> </w:t>
          </w:r>
          <w:bookmarkStart w:id="64" w:name="_Toc115342148"/>
          <w:bookmarkStart w:id="65" w:name="_Toc116285549"/>
          <w:bookmarkStart w:id="66" w:name="_Toc116290642"/>
          <w:bookmarkStart w:id="67" w:name="_Toc117242763"/>
          <w:bookmarkStart w:id="68" w:name="_Toc117243033"/>
          <w:r w:rsidRPr="00C1120A">
            <w:rPr>
              <w:sz w:val="18"/>
              <w:szCs w:val="18"/>
            </w:rPr>
            <w:t>Canberra ACT 2601.</w:t>
          </w:r>
          <w:bookmarkEnd w:id="64"/>
          <w:bookmarkEnd w:id="65"/>
          <w:bookmarkEnd w:id="66"/>
          <w:bookmarkEnd w:id="67"/>
          <w:bookmarkEnd w:id="68"/>
        </w:p>
        <w:bookmarkStart w:id="69" w:name="_Toc115342150"/>
        <w:bookmarkStart w:id="70" w:name="_Toc116285551"/>
        <w:bookmarkStart w:id="71" w:name="_Toc116290644"/>
        <w:bookmarkStart w:id="72" w:name="_Toc117242765"/>
        <w:bookmarkStart w:id="73" w:name="_Toc117243035"/>
        <w:p w14:paraId="73B777D8" w14:textId="740E4CD8" w:rsidR="00C1120A" w:rsidRPr="00C1120A" w:rsidRDefault="00C1120A" w:rsidP="00C1120A">
          <w:pPr>
            <w:spacing w:before="0"/>
            <w:rPr>
              <w:sz w:val="18"/>
              <w:szCs w:val="18"/>
            </w:rPr>
          </w:pPr>
          <w:r w:rsidRPr="00C1120A">
            <w:rPr>
              <w:sz w:val="18"/>
              <w:szCs w:val="18"/>
            </w:rPr>
            <w:fldChar w:fldCharType="begin"/>
          </w:r>
          <w:r w:rsidRPr="00C1120A">
            <w:rPr>
              <w:sz w:val="18"/>
              <w:szCs w:val="18"/>
            </w:rPr>
            <w:instrText xml:space="preserve"> HYPERLINK "http://www.accc.gov.au" </w:instrText>
          </w:r>
          <w:r w:rsidRPr="00C1120A">
            <w:rPr>
              <w:sz w:val="18"/>
              <w:szCs w:val="18"/>
            </w:rPr>
            <w:fldChar w:fldCharType="separate"/>
          </w:r>
          <w:r w:rsidRPr="00C1120A">
            <w:rPr>
              <w:rStyle w:val="Hyperlink"/>
              <w:sz w:val="18"/>
              <w:szCs w:val="18"/>
            </w:rPr>
            <w:t>www.accc.gov.au</w:t>
          </w:r>
          <w:bookmarkEnd w:id="69"/>
          <w:bookmarkEnd w:id="70"/>
          <w:bookmarkEnd w:id="71"/>
          <w:bookmarkEnd w:id="72"/>
          <w:bookmarkEnd w:id="73"/>
          <w:r w:rsidRPr="00C1120A">
            <w:rPr>
              <w:sz w:val="18"/>
              <w:szCs w:val="18"/>
            </w:rPr>
            <w:fldChar w:fldCharType="end"/>
          </w:r>
        </w:p>
        <w:p w14:paraId="61B9CBC7" w14:textId="77777777" w:rsidR="00C1120A" w:rsidRDefault="00C1120A" w:rsidP="00C1120A">
          <w:pPr>
            <w:spacing w:before="0"/>
            <w:rPr>
              <w:sz w:val="20"/>
              <w:szCs w:val="20"/>
            </w:rPr>
          </w:pPr>
          <w:r>
            <w:rPr>
              <w:sz w:val="20"/>
              <w:szCs w:val="20"/>
            </w:rPr>
            <w:br w:type="page"/>
          </w:r>
        </w:p>
        <w:p w14:paraId="45CDD938" w14:textId="61534A34" w:rsidR="00D64D17" w:rsidRPr="00F05000" w:rsidRDefault="00FA7E89" w:rsidP="00C1120A">
          <w:pPr>
            <w:spacing w:before="0"/>
            <w:rPr>
              <w:rFonts w:asciiTheme="majorHAnsi" w:hAnsiTheme="majorHAnsi" w:cstheme="minorHAnsi"/>
              <w:color w:val="410099" w:themeColor="accent1"/>
              <w:sz w:val="32"/>
              <w:szCs w:val="32"/>
            </w:rPr>
          </w:pPr>
          <w:bookmarkStart w:id="74" w:name="_Toc116285552"/>
          <w:bookmarkStart w:id="75" w:name="_Toc115342151"/>
          <w:r w:rsidRPr="001E44D8">
            <w:rPr>
              <w:rFonts w:asciiTheme="majorHAnsi" w:hAnsiTheme="majorHAnsi"/>
              <w:color w:val="410099" w:themeColor="accent1"/>
              <w:sz w:val="40"/>
              <w:szCs w:val="40"/>
            </w:rPr>
            <w:lastRenderedPageBreak/>
            <w:t>Table of Contents</w:t>
          </w:r>
        </w:p>
        <w:bookmarkEnd w:id="75" w:displacedByCustomXml="next"/>
      </w:sdtContent>
    </w:sdt>
    <w:bookmarkEnd w:id="74" w:displacedByCustomXml="prev"/>
    <w:bookmarkStart w:id="76" w:name="_Toc99466186" w:displacedByCustomXml="next"/>
    <w:sdt>
      <w:sdtPr>
        <w:rPr>
          <w:rFonts w:asciiTheme="minorHAnsi" w:eastAsiaTheme="majorEastAsia" w:hAnsiTheme="minorHAnsi" w:cstheme="minorHAnsi"/>
          <w:bCs/>
          <w:noProof w:val="0"/>
          <w:color w:val="410099" w:themeColor="accent1"/>
          <w:sz w:val="20"/>
          <w:szCs w:val="20"/>
          <w:lang w:val="en-AU" w:eastAsia="en-US"/>
        </w:rPr>
        <w:id w:val="-1280724987"/>
        <w:docPartObj>
          <w:docPartGallery w:val="Table of Contents"/>
          <w:docPartUnique/>
        </w:docPartObj>
      </w:sdtPr>
      <w:sdtEndPr>
        <w:rPr>
          <w:rFonts w:ascii="Palatino Linotype" w:hAnsi="Palatino Linotype" w:cstheme="majorBidi"/>
          <w:sz w:val="32"/>
          <w:szCs w:val="24"/>
        </w:rPr>
      </w:sdtEndPr>
      <w:sdtContent>
        <w:p w14:paraId="57868F09" w14:textId="47F43E67" w:rsidR="000C1872" w:rsidRDefault="00D64D17" w:rsidP="000C1872">
          <w:pPr>
            <w:pStyle w:val="TOC1"/>
            <w:rPr>
              <w:rFonts w:asciiTheme="minorHAnsi" w:eastAsiaTheme="minorEastAsia" w:hAnsiTheme="minorHAnsi"/>
              <w:lang w:val="en-AU" w:eastAsia="en-AU"/>
            </w:rPr>
          </w:pPr>
          <w:r w:rsidRPr="00CE7CA6">
            <w:rPr>
              <w:rFonts w:asciiTheme="minorHAnsi" w:hAnsiTheme="minorHAnsi" w:cstheme="minorHAnsi"/>
              <w:sz w:val="20"/>
              <w:szCs w:val="20"/>
            </w:rPr>
            <w:fldChar w:fldCharType="begin"/>
          </w:r>
          <w:r w:rsidRPr="00CE7CA6">
            <w:rPr>
              <w:rFonts w:asciiTheme="minorHAnsi" w:hAnsiTheme="minorHAnsi" w:cstheme="minorHAnsi"/>
              <w:sz w:val="20"/>
              <w:szCs w:val="20"/>
            </w:rPr>
            <w:instrText xml:space="preserve"> TOC \o \h \z \u </w:instrText>
          </w:r>
          <w:r w:rsidRPr="00CE7CA6">
            <w:rPr>
              <w:rFonts w:asciiTheme="minorHAnsi" w:hAnsiTheme="minorHAnsi" w:cstheme="minorHAnsi"/>
              <w:sz w:val="20"/>
              <w:szCs w:val="20"/>
            </w:rPr>
            <w:fldChar w:fldCharType="separate"/>
          </w:r>
          <w:hyperlink w:anchor="_Toc126074099" w:history="1">
            <w:r w:rsidR="000C1872" w:rsidRPr="00223ED1">
              <w:rPr>
                <w:rStyle w:val="Hyperlink"/>
              </w:rPr>
              <w:t>1</w:t>
            </w:r>
            <w:r w:rsidR="000C1872">
              <w:rPr>
                <w:rFonts w:asciiTheme="minorHAnsi" w:eastAsiaTheme="minorEastAsia" w:hAnsiTheme="minorHAnsi"/>
                <w:lang w:val="en-AU" w:eastAsia="en-AU"/>
              </w:rPr>
              <w:tab/>
            </w:r>
            <w:r w:rsidR="000C1872" w:rsidRPr="00223ED1">
              <w:rPr>
                <w:rStyle w:val="Hyperlink"/>
              </w:rPr>
              <w:t>Executive summary</w:t>
            </w:r>
            <w:r w:rsidR="000C1872">
              <w:rPr>
                <w:webHidden/>
              </w:rPr>
              <w:tab/>
            </w:r>
            <w:r w:rsidR="000C1872">
              <w:rPr>
                <w:webHidden/>
              </w:rPr>
              <w:fldChar w:fldCharType="begin"/>
            </w:r>
            <w:r w:rsidR="000C1872">
              <w:rPr>
                <w:webHidden/>
              </w:rPr>
              <w:instrText xml:space="preserve"> PAGEREF _Toc126074099 \h </w:instrText>
            </w:r>
            <w:r w:rsidR="000C1872">
              <w:rPr>
                <w:webHidden/>
              </w:rPr>
            </w:r>
            <w:r w:rsidR="000C1872">
              <w:rPr>
                <w:webHidden/>
              </w:rPr>
              <w:fldChar w:fldCharType="separate"/>
            </w:r>
            <w:r w:rsidR="00FA7021">
              <w:rPr>
                <w:webHidden/>
              </w:rPr>
              <w:t>1</w:t>
            </w:r>
            <w:r w:rsidR="000C1872">
              <w:rPr>
                <w:webHidden/>
              </w:rPr>
              <w:fldChar w:fldCharType="end"/>
            </w:r>
          </w:hyperlink>
        </w:p>
        <w:p w14:paraId="602A3BD6" w14:textId="69D3ECDB" w:rsidR="000C1872" w:rsidRDefault="00254AB5" w:rsidP="000C1872">
          <w:pPr>
            <w:pStyle w:val="TOC1"/>
            <w:rPr>
              <w:rFonts w:asciiTheme="minorHAnsi" w:eastAsiaTheme="minorEastAsia" w:hAnsiTheme="minorHAnsi"/>
              <w:lang w:val="en-AU" w:eastAsia="en-AU"/>
            </w:rPr>
          </w:pPr>
          <w:hyperlink w:anchor="_Toc126074100" w:history="1">
            <w:r w:rsidR="000C1872" w:rsidRPr="00223ED1">
              <w:rPr>
                <w:rStyle w:val="Hyperlink"/>
              </w:rPr>
              <w:t>2</w:t>
            </w:r>
            <w:r w:rsidR="000C1872">
              <w:rPr>
                <w:rFonts w:asciiTheme="minorHAnsi" w:eastAsiaTheme="minorEastAsia" w:hAnsiTheme="minorHAnsi"/>
                <w:lang w:val="en-AU" w:eastAsia="en-AU"/>
              </w:rPr>
              <w:tab/>
            </w:r>
            <w:r w:rsidR="000C1872" w:rsidRPr="00223ED1">
              <w:rPr>
                <w:rStyle w:val="Hyperlink"/>
              </w:rPr>
              <w:t>Introduction</w:t>
            </w:r>
            <w:r w:rsidR="000C1872">
              <w:rPr>
                <w:webHidden/>
              </w:rPr>
              <w:tab/>
            </w:r>
            <w:r w:rsidR="000C1872">
              <w:rPr>
                <w:webHidden/>
              </w:rPr>
              <w:fldChar w:fldCharType="begin"/>
            </w:r>
            <w:r w:rsidR="000C1872">
              <w:rPr>
                <w:webHidden/>
              </w:rPr>
              <w:instrText xml:space="preserve"> PAGEREF _Toc126074100 \h </w:instrText>
            </w:r>
            <w:r w:rsidR="000C1872">
              <w:rPr>
                <w:webHidden/>
              </w:rPr>
            </w:r>
            <w:r w:rsidR="000C1872">
              <w:rPr>
                <w:webHidden/>
              </w:rPr>
              <w:fldChar w:fldCharType="separate"/>
            </w:r>
            <w:r w:rsidR="00FA7021">
              <w:rPr>
                <w:webHidden/>
              </w:rPr>
              <w:t>4</w:t>
            </w:r>
            <w:r w:rsidR="000C1872">
              <w:rPr>
                <w:webHidden/>
              </w:rPr>
              <w:fldChar w:fldCharType="end"/>
            </w:r>
          </w:hyperlink>
        </w:p>
        <w:p w14:paraId="4F466C57" w14:textId="66057F93" w:rsidR="000C1872" w:rsidRDefault="00254AB5" w:rsidP="000C1872">
          <w:pPr>
            <w:pStyle w:val="TOC1"/>
            <w:rPr>
              <w:rFonts w:asciiTheme="minorHAnsi" w:eastAsiaTheme="minorEastAsia" w:hAnsiTheme="minorHAnsi"/>
              <w:lang w:val="en-AU" w:eastAsia="en-AU"/>
            </w:rPr>
          </w:pPr>
          <w:hyperlink w:anchor="_Toc126074101" w:history="1">
            <w:r w:rsidR="000C1872" w:rsidRPr="00223ED1">
              <w:rPr>
                <w:rStyle w:val="Hyperlink"/>
              </w:rPr>
              <w:t>3</w:t>
            </w:r>
            <w:r w:rsidR="000C1872">
              <w:rPr>
                <w:rFonts w:asciiTheme="minorHAnsi" w:eastAsiaTheme="minorEastAsia" w:hAnsiTheme="minorHAnsi"/>
                <w:lang w:val="en-AU" w:eastAsia="en-AU"/>
              </w:rPr>
              <w:tab/>
            </w:r>
            <w:r w:rsidR="000C1872" w:rsidRPr="00223ED1">
              <w:rPr>
                <w:rStyle w:val="Hyperlink"/>
              </w:rPr>
              <w:t>What is the problem we are trying to solve?</w:t>
            </w:r>
            <w:r w:rsidR="000C1872">
              <w:rPr>
                <w:webHidden/>
              </w:rPr>
              <w:tab/>
            </w:r>
            <w:r w:rsidR="000C1872">
              <w:rPr>
                <w:webHidden/>
              </w:rPr>
              <w:fldChar w:fldCharType="begin"/>
            </w:r>
            <w:r w:rsidR="000C1872">
              <w:rPr>
                <w:webHidden/>
              </w:rPr>
              <w:instrText xml:space="preserve"> PAGEREF _Toc126074101 \h </w:instrText>
            </w:r>
            <w:r w:rsidR="000C1872">
              <w:rPr>
                <w:webHidden/>
              </w:rPr>
            </w:r>
            <w:r w:rsidR="000C1872">
              <w:rPr>
                <w:webHidden/>
              </w:rPr>
              <w:fldChar w:fldCharType="separate"/>
            </w:r>
            <w:r w:rsidR="00FA7021">
              <w:rPr>
                <w:webHidden/>
              </w:rPr>
              <w:t>5</w:t>
            </w:r>
            <w:r w:rsidR="000C1872">
              <w:rPr>
                <w:webHidden/>
              </w:rPr>
              <w:fldChar w:fldCharType="end"/>
            </w:r>
          </w:hyperlink>
        </w:p>
        <w:p w14:paraId="5BB71926" w14:textId="0FF3736A" w:rsidR="000C1872" w:rsidRDefault="00254AB5">
          <w:pPr>
            <w:pStyle w:val="TOC2"/>
            <w:rPr>
              <w:rFonts w:asciiTheme="minorHAnsi" w:eastAsiaTheme="minorEastAsia" w:hAnsiTheme="minorHAnsi"/>
              <w:lang w:eastAsia="en-AU"/>
            </w:rPr>
          </w:pPr>
          <w:hyperlink w:anchor="_Toc126074102" w:history="1">
            <w:r w:rsidR="000C1872" w:rsidRPr="00223ED1">
              <w:rPr>
                <w:rStyle w:val="Hyperlink"/>
              </w:rPr>
              <w:t>3.1</w:t>
            </w:r>
            <w:r w:rsidR="000C1872">
              <w:rPr>
                <w:rFonts w:asciiTheme="minorHAnsi" w:eastAsiaTheme="minorEastAsia" w:hAnsiTheme="minorHAnsi"/>
                <w:lang w:eastAsia="en-AU"/>
              </w:rPr>
              <w:tab/>
            </w:r>
            <w:r w:rsidR="000C1872" w:rsidRPr="00223ED1">
              <w:rPr>
                <w:rStyle w:val="Hyperlink"/>
              </w:rPr>
              <w:t>Types of furniture at risk of toppling</w:t>
            </w:r>
            <w:r w:rsidR="000C1872">
              <w:rPr>
                <w:webHidden/>
              </w:rPr>
              <w:tab/>
            </w:r>
            <w:r w:rsidR="000C1872">
              <w:rPr>
                <w:webHidden/>
              </w:rPr>
              <w:fldChar w:fldCharType="begin"/>
            </w:r>
            <w:r w:rsidR="000C1872">
              <w:rPr>
                <w:webHidden/>
              </w:rPr>
              <w:instrText xml:space="preserve"> PAGEREF _Toc126074102 \h </w:instrText>
            </w:r>
            <w:r w:rsidR="000C1872">
              <w:rPr>
                <w:webHidden/>
              </w:rPr>
            </w:r>
            <w:r w:rsidR="000C1872">
              <w:rPr>
                <w:webHidden/>
              </w:rPr>
              <w:fldChar w:fldCharType="separate"/>
            </w:r>
            <w:r w:rsidR="00FA7021">
              <w:rPr>
                <w:webHidden/>
              </w:rPr>
              <w:t>5</w:t>
            </w:r>
            <w:r w:rsidR="000C1872">
              <w:rPr>
                <w:webHidden/>
              </w:rPr>
              <w:fldChar w:fldCharType="end"/>
            </w:r>
          </w:hyperlink>
        </w:p>
        <w:p w14:paraId="1A4CB4F4" w14:textId="43966C02" w:rsidR="000C1872" w:rsidRDefault="00254AB5">
          <w:pPr>
            <w:pStyle w:val="TOC2"/>
            <w:rPr>
              <w:rFonts w:asciiTheme="minorHAnsi" w:eastAsiaTheme="minorEastAsia" w:hAnsiTheme="minorHAnsi"/>
              <w:lang w:eastAsia="en-AU"/>
            </w:rPr>
          </w:pPr>
          <w:hyperlink w:anchor="_Toc126074103" w:history="1">
            <w:r w:rsidR="000C1872" w:rsidRPr="00223ED1">
              <w:rPr>
                <w:rStyle w:val="Hyperlink"/>
              </w:rPr>
              <w:t>3.2</w:t>
            </w:r>
            <w:r w:rsidR="000C1872">
              <w:rPr>
                <w:rFonts w:asciiTheme="minorHAnsi" w:eastAsiaTheme="minorEastAsia" w:hAnsiTheme="minorHAnsi"/>
                <w:lang w:eastAsia="en-AU"/>
              </w:rPr>
              <w:tab/>
            </w:r>
            <w:r w:rsidR="000C1872" w:rsidRPr="00223ED1">
              <w:rPr>
                <w:rStyle w:val="Hyperlink"/>
              </w:rPr>
              <w:t>Exclusions</w:t>
            </w:r>
            <w:r w:rsidR="000C1872">
              <w:rPr>
                <w:webHidden/>
              </w:rPr>
              <w:tab/>
            </w:r>
            <w:r w:rsidR="000C1872">
              <w:rPr>
                <w:webHidden/>
              </w:rPr>
              <w:fldChar w:fldCharType="begin"/>
            </w:r>
            <w:r w:rsidR="000C1872">
              <w:rPr>
                <w:webHidden/>
              </w:rPr>
              <w:instrText xml:space="preserve"> PAGEREF _Toc126074103 \h </w:instrText>
            </w:r>
            <w:r w:rsidR="000C1872">
              <w:rPr>
                <w:webHidden/>
              </w:rPr>
            </w:r>
            <w:r w:rsidR="000C1872">
              <w:rPr>
                <w:webHidden/>
              </w:rPr>
              <w:fldChar w:fldCharType="separate"/>
            </w:r>
            <w:r w:rsidR="00FA7021">
              <w:rPr>
                <w:webHidden/>
              </w:rPr>
              <w:t>6</w:t>
            </w:r>
            <w:r w:rsidR="000C1872">
              <w:rPr>
                <w:webHidden/>
              </w:rPr>
              <w:fldChar w:fldCharType="end"/>
            </w:r>
          </w:hyperlink>
        </w:p>
        <w:p w14:paraId="0BC6A892" w14:textId="17864DC7" w:rsidR="000C1872" w:rsidRDefault="00254AB5" w:rsidP="000C1872">
          <w:pPr>
            <w:pStyle w:val="TOC1"/>
            <w:rPr>
              <w:rFonts w:asciiTheme="minorHAnsi" w:eastAsiaTheme="minorEastAsia" w:hAnsiTheme="minorHAnsi"/>
              <w:lang w:val="en-AU" w:eastAsia="en-AU"/>
            </w:rPr>
          </w:pPr>
          <w:hyperlink w:anchor="_Toc126074104" w:history="1">
            <w:r w:rsidR="000C1872" w:rsidRPr="00223ED1">
              <w:rPr>
                <w:rStyle w:val="Hyperlink"/>
              </w:rPr>
              <w:t>4</w:t>
            </w:r>
            <w:r w:rsidR="000C1872">
              <w:rPr>
                <w:rFonts w:asciiTheme="minorHAnsi" w:eastAsiaTheme="minorEastAsia" w:hAnsiTheme="minorHAnsi"/>
                <w:lang w:val="en-AU" w:eastAsia="en-AU"/>
              </w:rPr>
              <w:tab/>
            </w:r>
            <w:r w:rsidR="000C1872" w:rsidRPr="00223ED1">
              <w:rPr>
                <w:rStyle w:val="Hyperlink"/>
              </w:rPr>
              <w:t>Why is government action needed?</w:t>
            </w:r>
            <w:r w:rsidR="000C1872">
              <w:rPr>
                <w:webHidden/>
              </w:rPr>
              <w:tab/>
            </w:r>
            <w:r w:rsidR="000C1872">
              <w:rPr>
                <w:webHidden/>
              </w:rPr>
              <w:fldChar w:fldCharType="begin"/>
            </w:r>
            <w:r w:rsidR="000C1872">
              <w:rPr>
                <w:webHidden/>
              </w:rPr>
              <w:instrText xml:space="preserve"> PAGEREF _Toc126074104 \h </w:instrText>
            </w:r>
            <w:r w:rsidR="000C1872">
              <w:rPr>
                <w:webHidden/>
              </w:rPr>
            </w:r>
            <w:r w:rsidR="000C1872">
              <w:rPr>
                <w:webHidden/>
              </w:rPr>
              <w:fldChar w:fldCharType="separate"/>
            </w:r>
            <w:r w:rsidR="00FA7021">
              <w:rPr>
                <w:webHidden/>
              </w:rPr>
              <w:t>7</w:t>
            </w:r>
            <w:r w:rsidR="000C1872">
              <w:rPr>
                <w:webHidden/>
              </w:rPr>
              <w:fldChar w:fldCharType="end"/>
            </w:r>
          </w:hyperlink>
        </w:p>
        <w:p w14:paraId="5F3D97CB" w14:textId="5EF8F6F5" w:rsidR="000C1872" w:rsidRDefault="00254AB5">
          <w:pPr>
            <w:pStyle w:val="TOC2"/>
            <w:rPr>
              <w:rFonts w:asciiTheme="minorHAnsi" w:eastAsiaTheme="minorEastAsia" w:hAnsiTheme="minorHAnsi"/>
              <w:lang w:eastAsia="en-AU"/>
            </w:rPr>
          </w:pPr>
          <w:hyperlink w:anchor="_Toc126074105" w:history="1">
            <w:r w:rsidR="000C1872" w:rsidRPr="00223ED1">
              <w:rPr>
                <w:rStyle w:val="Hyperlink"/>
              </w:rPr>
              <w:t>4.1</w:t>
            </w:r>
            <w:r w:rsidR="000C1872">
              <w:rPr>
                <w:rFonts w:asciiTheme="minorHAnsi" w:eastAsiaTheme="minorEastAsia" w:hAnsiTheme="minorHAnsi"/>
                <w:lang w:eastAsia="en-AU"/>
              </w:rPr>
              <w:tab/>
            </w:r>
            <w:r w:rsidR="000C1872" w:rsidRPr="00223ED1">
              <w:rPr>
                <w:rStyle w:val="Hyperlink"/>
              </w:rPr>
              <w:t>Objectives of intervention</w:t>
            </w:r>
            <w:r w:rsidR="000C1872">
              <w:rPr>
                <w:webHidden/>
              </w:rPr>
              <w:tab/>
            </w:r>
            <w:r w:rsidR="000C1872">
              <w:rPr>
                <w:webHidden/>
              </w:rPr>
              <w:fldChar w:fldCharType="begin"/>
            </w:r>
            <w:r w:rsidR="000C1872">
              <w:rPr>
                <w:webHidden/>
              </w:rPr>
              <w:instrText xml:space="preserve"> PAGEREF _Toc126074105 \h </w:instrText>
            </w:r>
            <w:r w:rsidR="000C1872">
              <w:rPr>
                <w:webHidden/>
              </w:rPr>
            </w:r>
            <w:r w:rsidR="000C1872">
              <w:rPr>
                <w:webHidden/>
              </w:rPr>
              <w:fldChar w:fldCharType="separate"/>
            </w:r>
            <w:r w:rsidR="00FA7021">
              <w:rPr>
                <w:webHidden/>
              </w:rPr>
              <w:t>7</w:t>
            </w:r>
            <w:r w:rsidR="000C1872">
              <w:rPr>
                <w:webHidden/>
              </w:rPr>
              <w:fldChar w:fldCharType="end"/>
            </w:r>
          </w:hyperlink>
        </w:p>
        <w:p w14:paraId="58F52DC5" w14:textId="41BF5978" w:rsidR="000C1872" w:rsidRDefault="00254AB5">
          <w:pPr>
            <w:pStyle w:val="TOC2"/>
            <w:rPr>
              <w:rFonts w:asciiTheme="minorHAnsi" w:eastAsiaTheme="minorEastAsia" w:hAnsiTheme="minorHAnsi"/>
              <w:lang w:eastAsia="en-AU"/>
            </w:rPr>
          </w:pPr>
          <w:hyperlink w:anchor="_Toc126074106" w:history="1">
            <w:r w:rsidR="000C1872" w:rsidRPr="00223ED1">
              <w:rPr>
                <w:rStyle w:val="Hyperlink"/>
              </w:rPr>
              <w:t>4.2</w:t>
            </w:r>
            <w:r w:rsidR="000C1872">
              <w:rPr>
                <w:rFonts w:asciiTheme="minorHAnsi" w:eastAsiaTheme="minorEastAsia" w:hAnsiTheme="minorHAnsi"/>
                <w:lang w:eastAsia="en-AU"/>
              </w:rPr>
              <w:tab/>
            </w:r>
            <w:r w:rsidR="000C1872" w:rsidRPr="00223ED1">
              <w:rPr>
                <w:rStyle w:val="Hyperlink"/>
              </w:rPr>
              <w:t>Deaths and injuries</w:t>
            </w:r>
            <w:r w:rsidR="000C1872">
              <w:rPr>
                <w:webHidden/>
              </w:rPr>
              <w:tab/>
            </w:r>
            <w:r w:rsidR="000C1872">
              <w:rPr>
                <w:webHidden/>
              </w:rPr>
              <w:fldChar w:fldCharType="begin"/>
            </w:r>
            <w:r w:rsidR="000C1872">
              <w:rPr>
                <w:webHidden/>
              </w:rPr>
              <w:instrText xml:space="preserve"> PAGEREF _Toc126074106 \h </w:instrText>
            </w:r>
            <w:r w:rsidR="000C1872">
              <w:rPr>
                <w:webHidden/>
              </w:rPr>
            </w:r>
            <w:r w:rsidR="000C1872">
              <w:rPr>
                <w:webHidden/>
              </w:rPr>
              <w:fldChar w:fldCharType="separate"/>
            </w:r>
            <w:r w:rsidR="00FA7021">
              <w:rPr>
                <w:webHidden/>
              </w:rPr>
              <w:t>7</w:t>
            </w:r>
            <w:r w:rsidR="000C1872">
              <w:rPr>
                <w:webHidden/>
              </w:rPr>
              <w:fldChar w:fldCharType="end"/>
            </w:r>
          </w:hyperlink>
        </w:p>
        <w:p w14:paraId="50E9D567" w14:textId="50C759B0" w:rsidR="000C1872" w:rsidRDefault="00254AB5">
          <w:pPr>
            <w:pStyle w:val="TOC3"/>
            <w:rPr>
              <w:rFonts w:asciiTheme="minorHAnsi" w:eastAsiaTheme="minorEastAsia" w:hAnsiTheme="minorHAnsi"/>
              <w:lang w:eastAsia="en-AU"/>
            </w:rPr>
          </w:pPr>
          <w:hyperlink w:anchor="_Toc126074107" w:history="1">
            <w:r w:rsidR="000C1872" w:rsidRPr="00223ED1">
              <w:rPr>
                <w:rStyle w:val="Hyperlink"/>
              </w:rPr>
              <w:t>4.2.1</w:t>
            </w:r>
            <w:r w:rsidR="000C1872">
              <w:rPr>
                <w:rFonts w:asciiTheme="minorHAnsi" w:eastAsiaTheme="minorEastAsia" w:hAnsiTheme="minorHAnsi"/>
                <w:lang w:eastAsia="en-AU"/>
              </w:rPr>
              <w:tab/>
            </w:r>
            <w:r w:rsidR="000C1872" w:rsidRPr="00223ED1">
              <w:rPr>
                <w:rStyle w:val="Hyperlink"/>
              </w:rPr>
              <w:t>Deaths</w:t>
            </w:r>
            <w:r w:rsidR="000C1872">
              <w:rPr>
                <w:webHidden/>
              </w:rPr>
              <w:tab/>
            </w:r>
            <w:r w:rsidR="000C1872">
              <w:rPr>
                <w:webHidden/>
              </w:rPr>
              <w:fldChar w:fldCharType="begin"/>
            </w:r>
            <w:r w:rsidR="000C1872">
              <w:rPr>
                <w:webHidden/>
              </w:rPr>
              <w:instrText xml:space="preserve"> PAGEREF _Toc126074107 \h </w:instrText>
            </w:r>
            <w:r w:rsidR="000C1872">
              <w:rPr>
                <w:webHidden/>
              </w:rPr>
            </w:r>
            <w:r w:rsidR="000C1872">
              <w:rPr>
                <w:webHidden/>
              </w:rPr>
              <w:fldChar w:fldCharType="separate"/>
            </w:r>
            <w:r w:rsidR="00FA7021">
              <w:rPr>
                <w:webHidden/>
              </w:rPr>
              <w:t>7</w:t>
            </w:r>
            <w:r w:rsidR="000C1872">
              <w:rPr>
                <w:webHidden/>
              </w:rPr>
              <w:fldChar w:fldCharType="end"/>
            </w:r>
          </w:hyperlink>
        </w:p>
        <w:p w14:paraId="35ACAD68" w14:textId="4EC34FCE" w:rsidR="000C1872" w:rsidRDefault="00254AB5">
          <w:pPr>
            <w:pStyle w:val="TOC3"/>
            <w:rPr>
              <w:rFonts w:asciiTheme="minorHAnsi" w:eastAsiaTheme="minorEastAsia" w:hAnsiTheme="minorHAnsi"/>
              <w:lang w:eastAsia="en-AU"/>
            </w:rPr>
          </w:pPr>
          <w:hyperlink w:anchor="_Toc126074108" w:history="1">
            <w:r w:rsidR="000C1872" w:rsidRPr="00223ED1">
              <w:rPr>
                <w:rStyle w:val="Hyperlink"/>
              </w:rPr>
              <w:t>4.2.2</w:t>
            </w:r>
            <w:r w:rsidR="000C1872">
              <w:rPr>
                <w:rFonts w:asciiTheme="minorHAnsi" w:eastAsiaTheme="minorEastAsia" w:hAnsiTheme="minorHAnsi"/>
                <w:lang w:eastAsia="en-AU"/>
              </w:rPr>
              <w:tab/>
            </w:r>
            <w:r w:rsidR="000C1872" w:rsidRPr="00223ED1">
              <w:rPr>
                <w:rStyle w:val="Hyperlink"/>
              </w:rPr>
              <w:t>Injuries</w:t>
            </w:r>
            <w:r w:rsidR="000C1872">
              <w:rPr>
                <w:webHidden/>
              </w:rPr>
              <w:tab/>
            </w:r>
            <w:r w:rsidR="000C1872">
              <w:rPr>
                <w:webHidden/>
              </w:rPr>
              <w:fldChar w:fldCharType="begin"/>
            </w:r>
            <w:r w:rsidR="000C1872">
              <w:rPr>
                <w:webHidden/>
              </w:rPr>
              <w:instrText xml:space="preserve"> PAGEREF _Toc126074108 \h </w:instrText>
            </w:r>
            <w:r w:rsidR="000C1872">
              <w:rPr>
                <w:webHidden/>
              </w:rPr>
            </w:r>
            <w:r w:rsidR="000C1872">
              <w:rPr>
                <w:webHidden/>
              </w:rPr>
              <w:fldChar w:fldCharType="separate"/>
            </w:r>
            <w:r w:rsidR="00FA7021">
              <w:rPr>
                <w:webHidden/>
              </w:rPr>
              <w:t>8</w:t>
            </w:r>
            <w:r w:rsidR="000C1872">
              <w:rPr>
                <w:webHidden/>
              </w:rPr>
              <w:fldChar w:fldCharType="end"/>
            </w:r>
          </w:hyperlink>
        </w:p>
        <w:p w14:paraId="3C853238" w14:textId="70D69F96" w:rsidR="000C1872" w:rsidRDefault="00254AB5">
          <w:pPr>
            <w:pStyle w:val="TOC3"/>
            <w:rPr>
              <w:rFonts w:asciiTheme="minorHAnsi" w:eastAsiaTheme="minorEastAsia" w:hAnsiTheme="minorHAnsi"/>
              <w:lang w:eastAsia="en-AU"/>
            </w:rPr>
          </w:pPr>
          <w:hyperlink w:anchor="_Toc126074109" w:history="1">
            <w:r w:rsidR="000C1872" w:rsidRPr="00223ED1">
              <w:rPr>
                <w:rStyle w:val="Hyperlink"/>
              </w:rPr>
              <w:t>4.2.3</w:t>
            </w:r>
            <w:r w:rsidR="000C1872">
              <w:rPr>
                <w:rFonts w:asciiTheme="minorHAnsi" w:eastAsiaTheme="minorEastAsia" w:hAnsiTheme="minorHAnsi"/>
                <w:lang w:eastAsia="en-AU"/>
              </w:rPr>
              <w:tab/>
            </w:r>
            <w:r w:rsidR="000C1872" w:rsidRPr="00223ED1">
              <w:rPr>
                <w:rStyle w:val="Hyperlink"/>
              </w:rPr>
              <w:t>Injury data collection</w:t>
            </w:r>
            <w:r w:rsidR="000C1872">
              <w:rPr>
                <w:webHidden/>
              </w:rPr>
              <w:tab/>
            </w:r>
            <w:r w:rsidR="000C1872">
              <w:rPr>
                <w:webHidden/>
              </w:rPr>
              <w:fldChar w:fldCharType="begin"/>
            </w:r>
            <w:r w:rsidR="000C1872">
              <w:rPr>
                <w:webHidden/>
              </w:rPr>
              <w:instrText xml:space="preserve"> PAGEREF _Toc126074109 \h </w:instrText>
            </w:r>
            <w:r w:rsidR="000C1872">
              <w:rPr>
                <w:webHidden/>
              </w:rPr>
            </w:r>
            <w:r w:rsidR="000C1872">
              <w:rPr>
                <w:webHidden/>
              </w:rPr>
              <w:fldChar w:fldCharType="separate"/>
            </w:r>
            <w:r w:rsidR="00FA7021">
              <w:rPr>
                <w:webHidden/>
              </w:rPr>
              <w:t>9</w:t>
            </w:r>
            <w:r w:rsidR="000C1872">
              <w:rPr>
                <w:webHidden/>
              </w:rPr>
              <w:fldChar w:fldCharType="end"/>
            </w:r>
          </w:hyperlink>
        </w:p>
        <w:p w14:paraId="5CE4541A" w14:textId="665D7ACF" w:rsidR="000C1872" w:rsidRDefault="00254AB5">
          <w:pPr>
            <w:pStyle w:val="TOC3"/>
            <w:rPr>
              <w:rFonts w:asciiTheme="minorHAnsi" w:eastAsiaTheme="minorEastAsia" w:hAnsiTheme="minorHAnsi"/>
              <w:lang w:eastAsia="en-AU"/>
            </w:rPr>
          </w:pPr>
          <w:hyperlink w:anchor="_Toc126074110" w:history="1">
            <w:r w:rsidR="000C1872" w:rsidRPr="00223ED1">
              <w:rPr>
                <w:rStyle w:val="Hyperlink"/>
              </w:rPr>
              <w:t>4.2.4</w:t>
            </w:r>
            <w:r w:rsidR="000C1872">
              <w:rPr>
                <w:rFonts w:asciiTheme="minorHAnsi" w:eastAsiaTheme="minorEastAsia" w:hAnsiTheme="minorHAnsi"/>
                <w:lang w:eastAsia="en-AU"/>
              </w:rPr>
              <w:tab/>
            </w:r>
            <w:r w:rsidR="000C1872" w:rsidRPr="00223ED1">
              <w:rPr>
                <w:rStyle w:val="Hyperlink"/>
              </w:rPr>
              <w:t>Emergency department presentations</w:t>
            </w:r>
            <w:r w:rsidR="000C1872">
              <w:rPr>
                <w:webHidden/>
              </w:rPr>
              <w:tab/>
            </w:r>
            <w:r w:rsidR="000C1872">
              <w:rPr>
                <w:webHidden/>
              </w:rPr>
              <w:fldChar w:fldCharType="begin"/>
            </w:r>
            <w:r w:rsidR="000C1872">
              <w:rPr>
                <w:webHidden/>
              </w:rPr>
              <w:instrText xml:space="preserve"> PAGEREF _Toc126074110 \h </w:instrText>
            </w:r>
            <w:r w:rsidR="000C1872">
              <w:rPr>
                <w:webHidden/>
              </w:rPr>
            </w:r>
            <w:r w:rsidR="000C1872">
              <w:rPr>
                <w:webHidden/>
              </w:rPr>
              <w:fldChar w:fldCharType="separate"/>
            </w:r>
            <w:r w:rsidR="00FA7021">
              <w:rPr>
                <w:webHidden/>
              </w:rPr>
              <w:t>9</w:t>
            </w:r>
            <w:r w:rsidR="000C1872">
              <w:rPr>
                <w:webHidden/>
              </w:rPr>
              <w:fldChar w:fldCharType="end"/>
            </w:r>
          </w:hyperlink>
        </w:p>
        <w:p w14:paraId="3E7B4768" w14:textId="6732CB6C" w:rsidR="000C1872" w:rsidRDefault="00254AB5">
          <w:pPr>
            <w:pStyle w:val="TOC3"/>
            <w:rPr>
              <w:rFonts w:asciiTheme="minorHAnsi" w:eastAsiaTheme="minorEastAsia" w:hAnsiTheme="minorHAnsi"/>
              <w:lang w:eastAsia="en-AU"/>
            </w:rPr>
          </w:pPr>
          <w:hyperlink w:anchor="_Toc126074111" w:history="1">
            <w:r w:rsidR="000C1872" w:rsidRPr="00223ED1">
              <w:rPr>
                <w:rStyle w:val="Hyperlink"/>
              </w:rPr>
              <w:t>4.2.5</w:t>
            </w:r>
            <w:r w:rsidR="000C1872">
              <w:rPr>
                <w:rFonts w:asciiTheme="minorHAnsi" w:eastAsiaTheme="minorEastAsia" w:hAnsiTheme="minorHAnsi"/>
                <w:lang w:eastAsia="en-AU"/>
              </w:rPr>
              <w:tab/>
            </w:r>
            <w:r w:rsidR="000C1872" w:rsidRPr="00223ED1">
              <w:rPr>
                <w:rStyle w:val="Hyperlink"/>
              </w:rPr>
              <w:t>Types of furniture</w:t>
            </w:r>
            <w:r w:rsidR="000C1872">
              <w:rPr>
                <w:webHidden/>
              </w:rPr>
              <w:tab/>
            </w:r>
            <w:r w:rsidR="000C1872">
              <w:rPr>
                <w:webHidden/>
              </w:rPr>
              <w:fldChar w:fldCharType="begin"/>
            </w:r>
            <w:r w:rsidR="000C1872">
              <w:rPr>
                <w:webHidden/>
              </w:rPr>
              <w:instrText xml:space="preserve"> PAGEREF _Toc126074111 \h </w:instrText>
            </w:r>
            <w:r w:rsidR="000C1872">
              <w:rPr>
                <w:webHidden/>
              </w:rPr>
            </w:r>
            <w:r w:rsidR="000C1872">
              <w:rPr>
                <w:webHidden/>
              </w:rPr>
              <w:fldChar w:fldCharType="separate"/>
            </w:r>
            <w:r w:rsidR="00FA7021">
              <w:rPr>
                <w:webHidden/>
              </w:rPr>
              <w:t>12</w:t>
            </w:r>
            <w:r w:rsidR="000C1872">
              <w:rPr>
                <w:webHidden/>
              </w:rPr>
              <w:fldChar w:fldCharType="end"/>
            </w:r>
          </w:hyperlink>
        </w:p>
        <w:p w14:paraId="1A6F3215" w14:textId="4172BE66" w:rsidR="000C1872" w:rsidRDefault="00254AB5">
          <w:pPr>
            <w:pStyle w:val="TOC2"/>
            <w:rPr>
              <w:rFonts w:asciiTheme="minorHAnsi" w:eastAsiaTheme="minorEastAsia" w:hAnsiTheme="minorHAnsi"/>
              <w:lang w:eastAsia="en-AU"/>
            </w:rPr>
          </w:pPr>
          <w:hyperlink w:anchor="_Toc126074112" w:history="1">
            <w:r w:rsidR="000C1872" w:rsidRPr="00223ED1">
              <w:rPr>
                <w:rStyle w:val="Hyperlink"/>
              </w:rPr>
              <w:t>4.3</w:t>
            </w:r>
            <w:r w:rsidR="000C1872">
              <w:rPr>
                <w:rFonts w:asciiTheme="minorHAnsi" w:eastAsiaTheme="minorEastAsia" w:hAnsiTheme="minorHAnsi"/>
                <w:lang w:eastAsia="en-AU"/>
              </w:rPr>
              <w:tab/>
            </w:r>
            <w:r w:rsidR="000C1872" w:rsidRPr="00223ED1">
              <w:rPr>
                <w:rStyle w:val="Hyperlink"/>
              </w:rPr>
              <w:t>Previous attempts to mitigate toppling furniture risk</w:t>
            </w:r>
            <w:r w:rsidR="000C1872">
              <w:rPr>
                <w:webHidden/>
              </w:rPr>
              <w:tab/>
            </w:r>
            <w:r w:rsidR="000C1872">
              <w:rPr>
                <w:webHidden/>
              </w:rPr>
              <w:fldChar w:fldCharType="begin"/>
            </w:r>
            <w:r w:rsidR="000C1872">
              <w:rPr>
                <w:webHidden/>
              </w:rPr>
              <w:instrText xml:space="preserve"> PAGEREF _Toc126074112 \h </w:instrText>
            </w:r>
            <w:r w:rsidR="000C1872">
              <w:rPr>
                <w:webHidden/>
              </w:rPr>
            </w:r>
            <w:r w:rsidR="000C1872">
              <w:rPr>
                <w:webHidden/>
              </w:rPr>
              <w:fldChar w:fldCharType="separate"/>
            </w:r>
            <w:r w:rsidR="00FA7021">
              <w:rPr>
                <w:webHidden/>
              </w:rPr>
              <w:t>13</w:t>
            </w:r>
            <w:r w:rsidR="000C1872">
              <w:rPr>
                <w:webHidden/>
              </w:rPr>
              <w:fldChar w:fldCharType="end"/>
            </w:r>
          </w:hyperlink>
        </w:p>
        <w:p w14:paraId="36E1062D" w14:textId="7E23DB99" w:rsidR="000C1872" w:rsidRDefault="00254AB5">
          <w:pPr>
            <w:pStyle w:val="TOC2"/>
            <w:rPr>
              <w:rFonts w:asciiTheme="minorHAnsi" w:eastAsiaTheme="minorEastAsia" w:hAnsiTheme="minorHAnsi"/>
              <w:lang w:eastAsia="en-AU"/>
            </w:rPr>
          </w:pPr>
          <w:hyperlink w:anchor="_Toc126074113" w:history="1">
            <w:r w:rsidR="000C1872" w:rsidRPr="00223ED1">
              <w:rPr>
                <w:rStyle w:val="Hyperlink"/>
              </w:rPr>
              <w:t>4.4</w:t>
            </w:r>
            <w:r w:rsidR="000C1872">
              <w:rPr>
                <w:rFonts w:asciiTheme="minorHAnsi" w:eastAsiaTheme="minorEastAsia" w:hAnsiTheme="minorHAnsi"/>
                <w:lang w:eastAsia="en-AU"/>
              </w:rPr>
              <w:tab/>
            </w:r>
            <w:r w:rsidR="000C1872" w:rsidRPr="00223ED1">
              <w:rPr>
                <w:rStyle w:val="Hyperlink"/>
              </w:rPr>
              <w:t>Estimated future impact</w:t>
            </w:r>
            <w:r w:rsidR="000C1872">
              <w:rPr>
                <w:webHidden/>
              </w:rPr>
              <w:tab/>
            </w:r>
            <w:r w:rsidR="000C1872">
              <w:rPr>
                <w:webHidden/>
              </w:rPr>
              <w:fldChar w:fldCharType="begin"/>
            </w:r>
            <w:r w:rsidR="000C1872">
              <w:rPr>
                <w:webHidden/>
              </w:rPr>
              <w:instrText xml:space="preserve"> PAGEREF _Toc126074113 \h </w:instrText>
            </w:r>
            <w:r w:rsidR="000C1872">
              <w:rPr>
                <w:webHidden/>
              </w:rPr>
            </w:r>
            <w:r w:rsidR="000C1872">
              <w:rPr>
                <w:webHidden/>
              </w:rPr>
              <w:fldChar w:fldCharType="separate"/>
            </w:r>
            <w:r w:rsidR="00FA7021">
              <w:rPr>
                <w:webHidden/>
              </w:rPr>
              <w:t>14</w:t>
            </w:r>
            <w:r w:rsidR="000C1872">
              <w:rPr>
                <w:webHidden/>
              </w:rPr>
              <w:fldChar w:fldCharType="end"/>
            </w:r>
          </w:hyperlink>
        </w:p>
        <w:p w14:paraId="71B6CF2D" w14:textId="3607E813" w:rsidR="000C1872" w:rsidRDefault="00254AB5" w:rsidP="000C1872">
          <w:pPr>
            <w:pStyle w:val="TOC1"/>
            <w:rPr>
              <w:rFonts w:asciiTheme="minorHAnsi" w:eastAsiaTheme="minorEastAsia" w:hAnsiTheme="minorHAnsi"/>
              <w:lang w:val="en-AU" w:eastAsia="en-AU"/>
            </w:rPr>
          </w:pPr>
          <w:hyperlink w:anchor="_Toc126074114" w:history="1">
            <w:r w:rsidR="000C1872" w:rsidRPr="00223ED1">
              <w:rPr>
                <w:rStyle w:val="Hyperlink"/>
              </w:rPr>
              <w:t>5</w:t>
            </w:r>
            <w:r w:rsidR="000C1872">
              <w:rPr>
                <w:rFonts w:asciiTheme="minorHAnsi" w:eastAsiaTheme="minorEastAsia" w:hAnsiTheme="minorHAnsi"/>
                <w:lang w:val="en-AU" w:eastAsia="en-AU"/>
              </w:rPr>
              <w:tab/>
            </w:r>
            <w:r w:rsidR="000C1872" w:rsidRPr="00223ED1">
              <w:rPr>
                <w:rStyle w:val="Hyperlink"/>
              </w:rPr>
              <w:t>What is the cost to the Australian economy?</w:t>
            </w:r>
            <w:r w:rsidR="000C1872">
              <w:rPr>
                <w:webHidden/>
              </w:rPr>
              <w:tab/>
            </w:r>
            <w:r w:rsidR="000C1872">
              <w:rPr>
                <w:webHidden/>
              </w:rPr>
              <w:fldChar w:fldCharType="begin"/>
            </w:r>
            <w:r w:rsidR="000C1872">
              <w:rPr>
                <w:webHidden/>
              </w:rPr>
              <w:instrText xml:space="preserve"> PAGEREF _Toc126074114 \h </w:instrText>
            </w:r>
            <w:r w:rsidR="000C1872">
              <w:rPr>
                <w:webHidden/>
              </w:rPr>
            </w:r>
            <w:r w:rsidR="000C1872">
              <w:rPr>
                <w:webHidden/>
              </w:rPr>
              <w:fldChar w:fldCharType="separate"/>
            </w:r>
            <w:r w:rsidR="00FA7021">
              <w:rPr>
                <w:webHidden/>
              </w:rPr>
              <w:t>15</w:t>
            </w:r>
            <w:r w:rsidR="000C1872">
              <w:rPr>
                <w:webHidden/>
              </w:rPr>
              <w:fldChar w:fldCharType="end"/>
            </w:r>
          </w:hyperlink>
        </w:p>
        <w:p w14:paraId="0D36E198" w14:textId="1EAC3DDD" w:rsidR="000C1872" w:rsidRDefault="00254AB5">
          <w:pPr>
            <w:pStyle w:val="TOC2"/>
            <w:rPr>
              <w:rFonts w:asciiTheme="minorHAnsi" w:eastAsiaTheme="minorEastAsia" w:hAnsiTheme="minorHAnsi"/>
              <w:lang w:eastAsia="en-AU"/>
            </w:rPr>
          </w:pPr>
          <w:hyperlink w:anchor="_Toc126074115" w:history="1">
            <w:r w:rsidR="000C1872" w:rsidRPr="00223ED1">
              <w:rPr>
                <w:rStyle w:val="Hyperlink"/>
              </w:rPr>
              <w:t>5.1</w:t>
            </w:r>
            <w:r w:rsidR="000C1872">
              <w:rPr>
                <w:rFonts w:asciiTheme="minorHAnsi" w:eastAsiaTheme="minorEastAsia" w:hAnsiTheme="minorHAnsi"/>
                <w:lang w:eastAsia="en-AU"/>
              </w:rPr>
              <w:tab/>
            </w:r>
            <w:r w:rsidR="000C1872" w:rsidRPr="00223ED1">
              <w:rPr>
                <w:rStyle w:val="Hyperlink"/>
              </w:rPr>
              <w:t>Forecast injuries</w:t>
            </w:r>
            <w:r w:rsidR="000C1872">
              <w:rPr>
                <w:webHidden/>
              </w:rPr>
              <w:tab/>
            </w:r>
            <w:r w:rsidR="000C1872">
              <w:rPr>
                <w:webHidden/>
              </w:rPr>
              <w:fldChar w:fldCharType="begin"/>
            </w:r>
            <w:r w:rsidR="000C1872">
              <w:rPr>
                <w:webHidden/>
              </w:rPr>
              <w:instrText xml:space="preserve"> PAGEREF _Toc126074115 \h </w:instrText>
            </w:r>
            <w:r w:rsidR="000C1872">
              <w:rPr>
                <w:webHidden/>
              </w:rPr>
            </w:r>
            <w:r w:rsidR="000C1872">
              <w:rPr>
                <w:webHidden/>
              </w:rPr>
              <w:fldChar w:fldCharType="separate"/>
            </w:r>
            <w:r w:rsidR="00FA7021">
              <w:rPr>
                <w:webHidden/>
              </w:rPr>
              <w:t>15</w:t>
            </w:r>
            <w:r w:rsidR="000C1872">
              <w:rPr>
                <w:webHidden/>
              </w:rPr>
              <w:fldChar w:fldCharType="end"/>
            </w:r>
          </w:hyperlink>
        </w:p>
        <w:p w14:paraId="0D793B98" w14:textId="08D7BF7D" w:rsidR="000C1872" w:rsidRDefault="00254AB5">
          <w:pPr>
            <w:pStyle w:val="TOC2"/>
            <w:rPr>
              <w:rFonts w:asciiTheme="minorHAnsi" w:eastAsiaTheme="minorEastAsia" w:hAnsiTheme="minorHAnsi"/>
              <w:lang w:eastAsia="en-AU"/>
            </w:rPr>
          </w:pPr>
          <w:hyperlink w:anchor="_Toc126074116" w:history="1">
            <w:r w:rsidR="000C1872" w:rsidRPr="00223ED1">
              <w:rPr>
                <w:rStyle w:val="Hyperlink"/>
              </w:rPr>
              <w:t>5.2</w:t>
            </w:r>
            <w:r w:rsidR="000C1872">
              <w:rPr>
                <w:rFonts w:asciiTheme="minorHAnsi" w:eastAsiaTheme="minorEastAsia" w:hAnsiTheme="minorHAnsi"/>
                <w:lang w:eastAsia="en-AU"/>
              </w:rPr>
              <w:tab/>
            </w:r>
            <w:r w:rsidR="000C1872" w:rsidRPr="00223ED1">
              <w:rPr>
                <w:rStyle w:val="Hyperlink"/>
              </w:rPr>
              <w:t>Forecast fatalities</w:t>
            </w:r>
            <w:r w:rsidR="000C1872">
              <w:rPr>
                <w:webHidden/>
              </w:rPr>
              <w:tab/>
            </w:r>
            <w:r w:rsidR="000C1872">
              <w:rPr>
                <w:webHidden/>
              </w:rPr>
              <w:fldChar w:fldCharType="begin"/>
            </w:r>
            <w:r w:rsidR="000C1872">
              <w:rPr>
                <w:webHidden/>
              </w:rPr>
              <w:instrText xml:space="preserve"> PAGEREF _Toc126074116 \h </w:instrText>
            </w:r>
            <w:r w:rsidR="000C1872">
              <w:rPr>
                <w:webHidden/>
              </w:rPr>
            </w:r>
            <w:r w:rsidR="000C1872">
              <w:rPr>
                <w:webHidden/>
              </w:rPr>
              <w:fldChar w:fldCharType="separate"/>
            </w:r>
            <w:r w:rsidR="00FA7021">
              <w:rPr>
                <w:webHidden/>
              </w:rPr>
              <w:t>16</w:t>
            </w:r>
            <w:r w:rsidR="000C1872">
              <w:rPr>
                <w:webHidden/>
              </w:rPr>
              <w:fldChar w:fldCharType="end"/>
            </w:r>
          </w:hyperlink>
        </w:p>
        <w:p w14:paraId="7EEFF29C" w14:textId="5CF944BE" w:rsidR="000C1872" w:rsidRDefault="00254AB5">
          <w:pPr>
            <w:pStyle w:val="TOC2"/>
            <w:rPr>
              <w:rFonts w:asciiTheme="minorHAnsi" w:eastAsiaTheme="minorEastAsia" w:hAnsiTheme="minorHAnsi"/>
              <w:lang w:eastAsia="en-AU"/>
            </w:rPr>
          </w:pPr>
          <w:hyperlink w:anchor="_Toc126074117" w:history="1">
            <w:r w:rsidR="000C1872" w:rsidRPr="00223ED1">
              <w:rPr>
                <w:rStyle w:val="Hyperlink"/>
              </w:rPr>
              <w:t>5.3</w:t>
            </w:r>
            <w:r w:rsidR="000C1872">
              <w:rPr>
                <w:rFonts w:asciiTheme="minorHAnsi" w:eastAsiaTheme="minorEastAsia" w:hAnsiTheme="minorHAnsi"/>
                <w:lang w:eastAsia="en-AU"/>
              </w:rPr>
              <w:tab/>
            </w:r>
            <w:r w:rsidR="000C1872" w:rsidRPr="00223ED1">
              <w:rPr>
                <w:rStyle w:val="Hyperlink"/>
              </w:rPr>
              <w:t>Total costs of fatalities and injuries</w:t>
            </w:r>
            <w:r w:rsidR="000C1872">
              <w:rPr>
                <w:webHidden/>
              </w:rPr>
              <w:tab/>
            </w:r>
            <w:r w:rsidR="000C1872">
              <w:rPr>
                <w:webHidden/>
              </w:rPr>
              <w:fldChar w:fldCharType="begin"/>
            </w:r>
            <w:r w:rsidR="000C1872">
              <w:rPr>
                <w:webHidden/>
              </w:rPr>
              <w:instrText xml:space="preserve"> PAGEREF _Toc126074117 \h </w:instrText>
            </w:r>
            <w:r w:rsidR="000C1872">
              <w:rPr>
                <w:webHidden/>
              </w:rPr>
            </w:r>
            <w:r w:rsidR="000C1872">
              <w:rPr>
                <w:webHidden/>
              </w:rPr>
              <w:fldChar w:fldCharType="separate"/>
            </w:r>
            <w:r w:rsidR="00FA7021">
              <w:rPr>
                <w:webHidden/>
              </w:rPr>
              <w:t>17</w:t>
            </w:r>
            <w:r w:rsidR="000C1872">
              <w:rPr>
                <w:webHidden/>
              </w:rPr>
              <w:fldChar w:fldCharType="end"/>
            </w:r>
          </w:hyperlink>
        </w:p>
        <w:p w14:paraId="563B33F2" w14:textId="628E4CAF" w:rsidR="000C1872" w:rsidRDefault="00254AB5" w:rsidP="000C1872">
          <w:pPr>
            <w:pStyle w:val="TOC1"/>
            <w:rPr>
              <w:rFonts w:asciiTheme="minorHAnsi" w:eastAsiaTheme="minorEastAsia" w:hAnsiTheme="minorHAnsi"/>
              <w:lang w:val="en-AU" w:eastAsia="en-AU"/>
            </w:rPr>
          </w:pPr>
          <w:hyperlink w:anchor="_Toc126074118" w:history="1">
            <w:r w:rsidR="000C1872" w:rsidRPr="00223ED1">
              <w:rPr>
                <w:rStyle w:val="Hyperlink"/>
              </w:rPr>
              <w:t>6</w:t>
            </w:r>
            <w:r w:rsidR="000C1872">
              <w:rPr>
                <w:rFonts w:asciiTheme="minorHAnsi" w:eastAsiaTheme="minorEastAsia" w:hAnsiTheme="minorHAnsi"/>
                <w:lang w:val="en-AU" w:eastAsia="en-AU"/>
              </w:rPr>
              <w:tab/>
            </w:r>
            <w:r w:rsidR="000C1872" w:rsidRPr="00223ED1">
              <w:rPr>
                <w:rStyle w:val="Hyperlink"/>
              </w:rPr>
              <w:t>Who we consulted and what they said</w:t>
            </w:r>
            <w:r w:rsidR="000C1872">
              <w:rPr>
                <w:webHidden/>
              </w:rPr>
              <w:tab/>
            </w:r>
            <w:r w:rsidR="000C1872">
              <w:rPr>
                <w:webHidden/>
              </w:rPr>
              <w:fldChar w:fldCharType="begin"/>
            </w:r>
            <w:r w:rsidR="000C1872">
              <w:rPr>
                <w:webHidden/>
              </w:rPr>
              <w:instrText xml:space="preserve"> PAGEREF _Toc126074118 \h </w:instrText>
            </w:r>
            <w:r w:rsidR="000C1872">
              <w:rPr>
                <w:webHidden/>
              </w:rPr>
            </w:r>
            <w:r w:rsidR="000C1872">
              <w:rPr>
                <w:webHidden/>
              </w:rPr>
              <w:fldChar w:fldCharType="separate"/>
            </w:r>
            <w:r w:rsidR="00FA7021">
              <w:rPr>
                <w:webHidden/>
              </w:rPr>
              <w:t>18</w:t>
            </w:r>
            <w:r w:rsidR="000C1872">
              <w:rPr>
                <w:webHidden/>
              </w:rPr>
              <w:fldChar w:fldCharType="end"/>
            </w:r>
          </w:hyperlink>
        </w:p>
        <w:p w14:paraId="3844ACB2" w14:textId="694F632B" w:rsidR="000C1872" w:rsidRDefault="00254AB5">
          <w:pPr>
            <w:pStyle w:val="TOC2"/>
            <w:rPr>
              <w:rFonts w:asciiTheme="minorHAnsi" w:eastAsiaTheme="minorEastAsia" w:hAnsiTheme="minorHAnsi"/>
              <w:lang w:eastAsia="en-AU"/>
            </w:rPr>
          </w:pPr>
          <w:hyperlink w:anchor="_Toc126074119" w:history="1">
            <w:r w:rsidR="000C1872" w:rsidRPr="00223ED1">
              <w:rPr>
                <w:rStyle w:val="Hyperlink"/>
              </w:rPr>
              <w:t>Key points</w:t>
            </w:r>
            <w:r w:rsidR="000C1872">
              <w:rPr>
                <w:webHidden/>
              </w:rPr>
              <w:tab/>
            </w:r>
            <w:r w:rsidR="000C1872">
              <w:rPr>
                <w:webHidden/>
              </w:rPr>
              <w:fldChar w:fldCharType="begin"/>
            </w:r>
            <w:r w:rsidR="000C1872">
              <w:rPr>
                <w:webHidden/>
              </w:rPr>
              <w:instrText xml:space="preserve"> PAGEREF _Toc126074119 \h </w:instrText>
            </w:r>
            <w:r w:rsidR="000C1872">
              <w:rPr>
                <w:webHidden/>
              </w:rPr>
            </w:r>
            <w:r w:rsidR="000C1872">
              <w:rPr>
                <w:webHidden/>
              </w:rPr>
              <w:fldChar w:fldCharType="separate"/>
            </w:r>
            <w:r w:rsidR="00FA7021">
              <w:rPr>
                <w:webHidden/>
              </w:rPr>
              <w:t>18</w:t>
            </w:r>
            <w:r w:rsidR="000C1872">
              <w:rPr>
                <w:webHidden/>
              </w:rPr>
              <w:fldChar w:fldCharType="end"/>
            </w:r>
          </w:hyperlink>
        </w:p>
        <w:p w14:paraId="3DA20414" w14:textId="7A772EF4" w:rsidR="000C1872" w:rsidRDefault="00254AB5">
          <w:pPr>
            <w:pStyle w:val="TOC2"/>
            <w:rPr>
              <w:rFonts w:asciiTheme="minorHAnsi" w:eastAsiaTheme="minorEastAsia" w:hAnsiTheme="minorHAnsi"/>
              <w:lang w:eastAsia="en-AU"/>
            </w:rPr>
          </w:pPr>
          <w:hyperlink w:anchor="_Toc126074120" w:history="1">
            <w:r w:rsidR="000C1872" w:rsidRPr="00223ED1">
              <w:rPr>
                <w:rStyle w:val="Hyperlink"/>
              </w:rPr>
              <w:t>6.1</w:t>
            </w:r>
            <w:r w:rsidR="000C1872">
              <w:rPr>
                <w:rFonts w:asciiTheme="minorHAnsi" w:eastAsiaTheme="minorEastAsia" w:hAnsiTheme="minorHAnsi"/>
                <w:lang w:eastAsia="en-AU"/>
              </w:rPr>
              <w:tab/>
            </w:r>
            <w:r w:rsidR="000C1872" w:rsidRPr="00223ED1">
              <w:rPr>
                <w:rStyle w:val="Hyperlink"/>
              </w:rPr>
              <w:t>Issues paper</w:t>
            </w:r>
            <w:r w:rsidR="000C1872">
              <w:rPr>
                <w:webHidden/>
              </w:rPr>
              <w:tab/>
            </w:r>
            <w:r w:rsidR="000C1872">
              <w:rPr>
                <w:webHidden/>
              </w:rPr>
              <w:fldChar w:fldCharType="begin"/>
            </w:r>
            <w:r w:rsidR="000C1872">
              <w:rPr>
                <w:webHidden/>
              </w:rPr>
              <w:instrText xml:space="preserve"> PAGEREF _Toc126074120 \h </w:instrText>
            </w:r>
            <w:r w:rsidR="000C1872">
              <w:rPr>
                <w:webHidden/>
              </w:rPr>
            </w:r>
            <w:r w:rsidR="000C1872">
              <w:rPr>
                <w:webHidden/>
              </w:rPr>
              <w:fldChar w:fldCharType="separate"/>
            </w:r>
            <w:r w:rsidR="00FA7021">
              <w:rPr>
                <w:webHidden/>
              </w:rPr>
              <w:t>18</w:t>
            </w:r>
            <w:r w:rsidR="000C1872">
              <w:rPr>
                <w:webHidden/>
              </w:rPr>
              <w:fldChar w:fldCharType="end"/>
            </w:r>
          </w:hyperlink>
        </w:p>
        <w:p w14:paraId="0B833DD3" w14:textId="4CDE4C63" w:rsidR="000C1872" w:rsidRDefault="00254AB5">
          <w:pPr>
            <w:pStyle w:val="TOC2"/>
            <w:rPr>
              <w:rFonts w:asciiTheme="minorHAnsi" w:eastAsiaTheme="minorEastAsia" w:hAnsiTheme="minorHAnsi"/>
              <w:lang w:eastAsia="en-AU"/>
            </w:rPr>
          </w:pPr>
          <w:hyperlink w:anchor="_Toc126074121" w:history="1">
            <w:r w:rsidR="000C1872" w:rsidRPr="00223ED1">
              <w:rPr>
                <w:rStyle w:val="Hyperlink"/>
              </w:rPr>
              <w:t>6.2</w:t>
            </w:r>
            <w:r w:rsidR="000C1872">
              <w:rPr>
                <w:rFonts w:asciiTheme="minorHAnsi" w:eastAsiaTheme="minorEastAsia" w:hAnsiTheme="minorHAnsi"/>
                <w:lang w:eastAsia="en-AU"/>
              </w:rPr>
              <w:tab/>
            </w:r>
            <w:r w:rsidR="000C1872" w:rsidRPr="00223ED1">
              <w:rPr>
                <w:rStyle w:val="Hyperlink"/>
              </w:rPr>
              <w:t>Consultation RIS</w:t>
            </w:r>
            <w:r w:rsidR="000C1872">
              <w:rPr>
                <w:webHidden/>
              </w:rPr>
              <w:tab/>
            </w:r>
            <w:r w:rsidR="000C1872">
              <w:rPr>
                <w:webHidden/>
              </w:rPr>
              <w:fldChar w:fldCharType="begin"/>
            </w:r>
            <w:r w:rsidR="000C1872">
              <w:rPr>
                <w:webHidden/>
              </w:rPr>
              <w:instrText xml:space="preserve"> PAGEREF _Toc126074121 \h </w:instrText>
            </w:r>
            <w:r w:rsidR="000C1872">
              <w:rPr>
                <w:webHidden/>
              </w:rPr>
            </w:r>
            <w:r w:rsidR="000C1872">
              <w:rPr>
                <w:webHidden/>
              </w:rPr>
              <w:fldChar w:fldCharType="separate"/>
            </w:r>
            <w:r w:rsidR="00FA7021">
              <w:rPr>
                <w:webHidden/>
              </w:rPr>
              <w:t>18</w:t>
            </w:r>
            <w:r w:rsidR="000C1872">
              <w:rPr>
                <w:webHidden/>
              </w:rPr>
              <w:fldChar w:fldCharType="end"/>
            </w:r>
          </w:hyperlink>
        </w:p>
        <w:p w14:paraId="44E770DD" w14:textId="3D330B80" w:rsidR="000C1872" w:rsidRDefault="00254AB5">
          <w:pPr>
            <w:pStyle w:val="TOC2"/>
            <w:rPr>
              <w:rFonts w:asciiTheme="minorHAnsi" w:eastAsiaTheme="minorEastAsia" w:hAnsiTheme="minorHAnsi"/>
              <w:lang w:eastAsia="en-AU"/>
            </w:rPr>
          </w:pPr>
          <w:hyperlink w:anchor="_Toc126074122" w:history="1">
            <w:r w:rsidR="000C1872" w:rsidRPr="00223ED1">
              <w:rPr>
                <w:rStyle w:val="Hyperlink"/>
              </w:rPr>
              <w:t>6.3</w:t>
            </w:r>
            <w:r w:rsidR="000C1872">
              <w:rPr>
                <w:rFonts w:asciiTheme="minorHAnsi" w:eastAsiaTheme="minorEastAsia" w:hAnsiTheme="minorHAnsi"/>
                <w:lang w:eastAsia="en-AU"/>
              </w:rPr>
              <w:tab/>
            </w:r>
            <w:r w:rsidR="000C1872" w:rsidRPr="00223ED1">
              <w:rPr>
                <w:rStyle w:val="Hyperlink"/>
              </w:rPr>
              <w:t>Summary of stakeholder feedback</w:t>
            </w:r>
            <w:r w:rsidR="000C1872">
              <w:rPr>
                <w:webHidden/>
              </w:rPr>
              <w:tab/>
            </w:r>
            <w:r w:rsidR="000C1872">
              <w:rPr>
                <w:webHidden/>
              </w:rPr>
              <w:fldChar w:fldCharType="begin"/>
            </w:r>
            <w:r w:rsidR="000C1872">
              <w:rPr>
                <w:webHidden/>
              </w:rPr>
              <w:instrText xml:space="preserve"> PAGEREF _Toc126074122 \h </w:instrText>
            </w:r>
            <w:r w:rsidR="000C1872">
              <w:rPr>
                <w:webHidden/>
              </w:rPr>
            </w:r>
            <w:r w:rsidR="000C1872">
              <w:rPr>
                <w:webHidden/>
              </w:rPr>
              <w:fldChar w:fldCharType="separate"/>
            </w:r>
            <w:r w:rsidR="00FA7021">
              <w:rPr>
                <w:webHidden/>
              </w:rPr>
              <w:t>19</w:t>
            </w:r>
            <w:r w:rsidR="000C1872">
              <w:rPr>
                <w:webHidden/>
              </w:rPr>
              <w:fldChar w:fldCharType="end"/>
            </w:r>
          </w:hyperlink>
        </w:p>
        <w:p w14:paraId="7DE1A460" w14:textId="26285CE9" w:rsidR="000C1872" w:rsidRDefault="00254AB5">
          <w:pPr>
            <w:pStyle w:val="TOC3"/>
            <w:rPr>
              <w:rFonts w:asciiTheme="minorHAnsi" w:eastAsiaTheme="minorEastAsia" w:hAnsiTheme="minorHAnsi"/>
              <w:lang w:eastAsia="en-AU"/>
            </w:rPr>
          </w:pPr>
          <w:hyperlink w:anchor="_Toc126074123" w:history="1">
            <w:r w:rsidR="000C1872" w:rsidRPr="00223ED1">
              <w:rPr>
                <w:rStyle w:val="Hyperlink"/>
              </w:rPr>
              <w:t>6.3.1</w:t>
            </w:r>
            <w:r w:rsidR="000C1872">
              <w:rPr>
                <w:rFonts w:asciiTheme="minorHAnsi" w:eastAsiaTheme="minorEastAsia" w:hAnsiTheme="minorHAnsi"/>
                <w:lang w:eastAsia="en-AU"/>
              </w:rPr>
              <w:tab/>
            </w:r>
            <w:r w:rsidR="000C1872" w:rsidRPr="00223ED1">
              <w:rPr>
                <w:rStyle w:val="Hyperlink"/>
              </w:rPr>
              <w:t>Overview</w:t>
            </w:r>
            <w:r w:rsidR="000C1872">
              <w:rPr>
                <w:webHidden/>
              </w:rPr>
              <w:tab/>
            </w:r>
            <w:r w:rsidR="000C1872">
              <w:rPr>
                <w:webHidden/>
              </w:rPr>
              <w:fldChar w:fldCharType="begin"/>
            </w:r>
            <w:r w:rsidR="000C1872">
              <w:rPr>
                <w:webHidden/>
              </w:rPr>
              <w:instrText xml:space="preserve"> PAGEREF _Toc126074123 \h </w:instrText>
            </w:r>
            <w:r w:rsidR="000C1872">
              <w:rPr>
                <w:webHidden/>
              </w:rPr>
            </w:r>
            <w:r w:rsidR="000C1872">
              <w:rPr>
                <w:webHidden/>
              </w:rPr>
              <w:fldChar w:fldCharType="separate"/>
            </w:r>
            <w:r w:rsidR="00FA7021">
              <w:rPr>
                <w:webHidden/>
              </w:rPr>
              <w:t>19</w:t>
            </w:r>
            <w:r w:rsidR="000C1872">
              <w:rPr>
                <w:webHidden/>
              </w:rPr>
              <w:fldChar w:fldCharType="end"/>
            </w:r>
          </w:hyperlink>
        </w:p>
        <w:p w14:paraId="546BEBC3" w14:textId="76F484D0" w:rsidR="000C1872" w:rsidRDefault="00254AB5">
          <w:pPr>
            <w:pStyle w:val="TOC3"/>
            <w:rPr>
              <w:rFonts w:asciiTheme="minorHAnsi" w:eastAsiaTheme="minorEastAsia" w:hAnsiTheme="minorHAnsi"/>
              <w:lang w:eastAsia="en-AU"/>
            </w:rPr>
          </w:pPr>
          <w:hyperlink w:anchor="_Toc126074124" w:history="1">
            <w:r w:rsidR="000C1872" w:rsidRPr="00223ED1">
              <w:rPr>
                <w:rStyle w:val="Hyperlink"/>
              </w:rPr>
              <w:t>6.3.2</w:t>
            </w:r>
            <w:r w:rsidR="000C1872">
              <w:rPr>
                <w:rFonts w:asciiTheme="minorHAnsi" w:eastAsiaTheme="minorEastAsia" w:hAnsiTheme="minorHAnsi"/>
                <w:lang w:eastAsia="en-AU"/>
              </w:rPr>
              <w:tab/>
            </w:r>
            <w:r w:rsidR="000C1872" w:rsidRPr="00223ED1">
              <w:rPr>
                <w:rStyle w:val="Hyperlink"/>
              </w:rPr>
              <w:t>Scope</w:t>
            </w:r>
            <w:r w:rsidR="000C1872">
              <w:rPr>
                <w:webHidden/>
              </w:rPr>
              <w:tab/>
            </w:r>
            <w:r w:rsidR="000C1872">
              <w:rPr>
                <w:webHidden/>
              </w:rPr>
              <w:fldChar w:fldCharType="begin"/>
            </w:r>
            <w:r w:rsidR="000C1872">
              <w:rPr>
                <w:webHidden/>
              </w:rPr>
              <w:instrText xml:space="preserve"> PAGEREF _Toc126074124 \h </w:instrText>
            </w:r>
            <w:r w:rsidR="000C1872">
              <w:rPr>
                <w:webHidden/>
              </w:rPr>
            </w:r>
            <w:r w:rsidR="000C1872">
              <w:rPr>
                <w:webHidden/>
              </w:rPr>
              <w:fldChar w:fldCharType="separate"/>
            </w:r>
            <w:r w:rsidR="00FA7021">
              <w:rPr>
                <w:webHidden/>
              </w:rPr>
              <w:t>20</w:t>
            </w:r>
            <w:r w:rsidR="000C1872">
              <w:rPr>
                <w:webHidden/>
              </w:rPr>
              <w:fldChar w:fldCharType="end"/>
            </w:r>
          </w:hyperlink>
        </w:p>
        <w:p w14:paraId="4B407F77" w14:textId="6E4CC7DD" w:rsidR="000C1872" w:rsidRDefault="00254AB5">
          <w:pPr>
            <w:pStyle w:val="TOC3"/>
            <w:rPr>
              <w:rFonts w:asciiTheme="minorHAnsi" w:eastAsiaTheme="minorEastAsia" w:hAnsiTheme="minorHAnsi"/>
              <w:lang w:eastAsia="en-AU"/>
            </w:rPr>
          </w:pPr>
          <w:hyperlink w:anchor="_Toc126074125" w:history="1">
            <w:r w:rsidR="000C1872" w:rsidRPr="00223ED1">
              <w:rPr>
                <w:rStyle w:val="Hyperlink"/>
              </w:rPr>
              <w:t>6.3.3</w:t>
            </w:r>
            <w:r w:rsidR="000C1872">
              <w:rPr>
                <w:rFonts w:asciiTheme="minorHAnsi" w:eastAsiaTheme="minorEastAsia" w:hAnsiTheme="minorHAnsi"/>
                <w:lang w:eastAsia="en-AU"/>
              </w:rPr>
              <w:tab/>
            </w:r>
            <w:r w:rsidR="000C1872" w:rsidRPr="00223ED1">
              <w:rPr>
                <w:rStyle w:val="Hyperlink"/>
              </w:rPr>
              <w:t>Safety information and warning labels</w:t>
            </w:r>
            <w:r w:rsidR="000C1872">
              <w:rPr>
                <w:webHidden/>
              </w:rPr>
              <w:tab/>
            </w:r>
            <w:r w:rsidR="000C1872">
              <w:rPr>
                <w:webHidden/>
              </w:rPr>
              <w:fldChar w:fldCharType="begin"/>
            </w:r>
            <w:r w:rsidR="000C1872">
              <w:rPr>
                <w:webHidden/>
              </w:rPr>
              <w:instrText xml:space="preserve"> PAGEREF _Toc126074125 \h </w:instrText>
            </w:r>
            <w:r w:rsidR="000C1872">
              <w:rPr>
                <w:webHidden/>
              </w:rPr>
            </w:r>
            <w:r w:rsidR="000C1872">
              <w:rPr>
                <w:webHidden/>
              </w:rPr>
              <w:fldChar w:fldCharType="separate"/>
            </w:r>
            <w:r w:rsidR="00FA7021">
              <w:rPr>
                <w:webHidden/>
              </w:rPr>
              <w:t>20</w:t>
            </w:r>
            <w:r w:rsidR="000C1872">
              <w:rPr>
                <w:webHidden/>
              </w:rPr>
              <w:fldChar w:fldCharType="end"/>
            </w:r>
          </w:hyperlink>
        </w:p>
        <w:p w14:paraId="0466DA17" w14:textId="13E12519" w:rsidR="000C1872" w:rsidRDefault="00254AB5">
          <w:pPr>
            <w:pStyle w:val="TOC3"/>
            <w:rPr>
              <w:rFonts w:asciiTheme="minorHAnsi" w:eastAsiaTheme="minorEastAsia" w:hAnsiTheme="minorHAnsi"/>
              <w:lang w:eastAsia="en-AU"/>
            </w:rPr>
          </w:pPr>
          <w:hyperlink w:anchor="_Toc126074126" w:history="1">
            <w:r w:rsidR="000C1872" w:rsidRPr="00223ED1">
              <w:rPr>
                <w:rStyle w:val="Hyperlink"/>
              </w:rPr>
              <w:t>6.3.4</w:t>
            </w:r>
            <w:r w:rsidR="000C1872">
              <w:rPr>
                <w:rFonts w:asciiTheme="minorHAnsi" w:eastAsiaTheme="minorEastAsia" w:hAnsiTheme="minorHAnsi"/>
                <w:lang w:eastAsia="en-AU"/>
              </w:rPr>
              <w:tab/>
            </w:r>
            <w:r w:rsidR="000C1872" w:rsidRPr="00223ED1">
              <w:rPr>
                <w:rStyle w:val="Hyperlink"/>
              </w:rPr>
              <w:t>Anchoring</w:t>
            </w:r>
            <w:r w:rsidR="000C1872">
              <w:rPr>
                <w:webHidden/>
              </w:rPr>
              <w:tab/>
            </w:r>
            <w:r w:rsidR="000C1872">
              <w:rPr>
                <w:webHidden/>
              </w:rPr>
              <w:fldChar w:fldCharType="begin"/>
            </w:r>
            <w:r w:rsidR="000C1872">
              <w:rPr>
                <w:webHidden/>
              </w:rPr>
              <w:instrText xml:space="preserve"> PAGEREF _Toc126074126 \h </w:instrText>
            </w:r>
            <w:r w:rsidR="000C1872">
              <w:rPr>
                <w:webHidden/>
              </w:rPr>
            </w:r>
            <w:r w:rsidR="000C1872">
              <w:rPr>
                <w:webHidden/>
              </w:rPr>
              <w:fldChar w:fldCharType="separate"/>
            </w:r>
            <w:r w:rsidR="00FA7021">
              <w:rPr>
                <w:webHidden/>
              </w:rPr>
              <w:t>21</w:t>
            </w:r>
            <w:r w:rsidR="000C1872">
              <w:rPr>
                <w:webHidden/>
              </w:rPr>
              <w:fldChar w:fldCharType="end"/>
            </w:r>
          </w:hyperlink>
        </w:p>
        <w:p w14:paraId="78C9605F" w14:textId="4ED9E53C" w:rsidR="000C1872" w:rsidRDefault="00254AB5">
          <w:pPr>
            <w:pStyle w:val="TOC3"/>
            <w:rPr>
              <w:rFonts w:asciiTheme="minorHAnsi" w:eastAsiaTheme="minorEastAsia" w:hAnsiTheme="minorHAnsi"/>
              <w:lang w:eastAsia="en-AU"/>
            </w:rPr>
          </w:pPr>
          <w:hyperlink w:anchor="_Toc126074127" w:history="1">
            <w:r w:rsidR="000C1872" w:rsidRPr="00223ED1">
              <w:rPr>
                <w:rStyle w:val="Hyperlink"/>
              </w:rPr>
              <w:t>6.3.5</w:t>
            </w:r>
            <w:r w:rsidR="000C1872">
              <w:rPr>
                <w:rFonts w:asciiTheme="minorHAnsi" w:eastAsiaTheme="minorEastAsia" w:hAnsiTheme="minorHAnsi"/>
                <w:lang w:eastAsia="en-AU"/>
              </w:rPr>
              <w:tab/>
            </w:r>
            <w:r w:rsidR="000C1872" w:rsidRPr="00223ED1">
              <w:rPr>
                <w:rStyle w:val="Hyperlink"/>
              </w:rPr>
              <w:t>Stability requirements</w:t>
            </w:r>
            <w:r w:rsidR="000C1872">
              <w:rPr>
                <w:webHidden/>
              </w:rPr>
              <w:tab/>
            </w:r>
            <w:r w:rsidR="000C1872">
              <w:rPr>
                <w:webHidden/>
              </w:rPr>
              <w:fldChar w:fldCharType="begin"/>
            </w:r>
            <w:r w:rsidR="000C1872">
              <w:rPr>
                <w:webHidden/>
              </w:rPr>
              <w:instrText xml:space="preserve"> PAGEREF _Toc126074127 \h </w:instrText>
            </w:r>
            <w:r w:rsidR="000C1872">
              <w:rPr>
                <w:webHidden/>
              </w:rPr>
            </w:r>
            <w:r w:rsidR="000C1872">
              <w:rPr>
                <w:webHidden/>
              </w:rPr>
              <w:fldChar w:fldCharType="separate"/>
            </w:r>
            <w:r w:rsidR="00FA7021">
              <w:rPr>
                <w:webHidden/>
              </w:rPr>
              <w:t>21</w:t>
            </w:r>
            <w:r w:rsidR="000C1872">
              <w:rPr>
                <w:webHidden/>
              </w:rPr>
              <w:fldChar w:fldCharType="end"/>
            </w:r>
          </w:hyperlink>
        </w:p>
        <w:p w14:paraId="6083094E" w14:textId="52DEFE7B" w:rsidR="000C1872" w:rsidRDefault="00254AB5">
          <w:pPr>
            <w:pStyle w:val="TOC3"/>
            <w:rPr>
              <w:rFonts w:asciiTheme="minorHAnsi" w:eastAsiaTheme="minorEastAsia" w:hAnsiTheme="minorHAnsi"/>
              <w:lang w:eastAsia="en-AU"/>
            </w:rPr>
          </w:pPr>
          <w:hyperlink w:anchor="_Toc126074128" w:history="1">
            <w:r w:rsidR="000C1872" w:rsidRPr="00223ED1">
              <w:rPr>
                <w:rStyle w:val="Hyperlink"/>
              </w:rPr>
              <w:t>6.3.6</w:t>
            </w:r>
            <w:r w:rsidR="000C1872">
              <w:rPr>
                <w:rFonts w:asciiTheme="minorHAnsi" w:eastAsiaTheme="minorEastAsia" w:hAnsiTheme="minorHAnsi"/>
                <w:lang w:eastAsia="en-AU"/>
              </w:rPr>
              <w:tab/>
            </w:r>
            <w:r w:rsidR="000C1872" w:rsidRPr="00223ED1">
              <w:rPr>
                <w:rStyle w:val="Hyperlink"/>
              </w:rPr>
              <w:t>Cost to industry</w:t>
            </w:r>
            <w:r w:rsidR="000C1872">
              <w:rPr>
                <w:webHidden/>
              </w:rPr>
              <w:tab/>
            </w:r>
            <w:r w:rsidR="000C1872">
              <w:rPr>
                <w:webHidden/>
              </w:rPr>
              <w:fldChar w:fldCharType="begin"/>
            </w:r>
            <w:r w:rsidR="000C1872">
              <w:rPr>
                <w:webHidden/>
              </w:rPr>
              <w:instrText xml:space="preserve"> PAGEREF _Toc126074128 \h </w:instrText>
            </w:r>
            <w:r w:rsidR="000C1872">
              <w:rPr>
                <w:webHidden/>
              </w:rPr>
            </w:r>
            <w:r w:rsidR="000C1872">
              <w:rPr>
                <w:webHidden/>
              </w:rPr>
              <w:fldChar w:fldCharType="separate"/>
            </w:r>
            <w:r w:rsidR="00FA7021">
              <w:rPr>
                <w:webHidden/>
              </w:rPr>
              <w:t>21</w:t>
            </w:r>
            <w:r w:rsidR="000C1872">
              <w:rPr>
                <w:webHidden/>
              </w:rPr>
              <w:fldChar w:fldCharType="end"/>
            </w:r>
          </w:hyperlink>
        </w:p>
        <w:p w14:paraId="1E08EBA6" w14:textId="4ED21BF7" w:rsidR="000C1872" w:rsidRDefault="00254AB5">
          <w:pPr>
            <w:pStyle w:val="TOC3"/>
            <w:rPr>
              <w:rFonts w:asciiTheme="minorHAnsi" w:eastAsiaTheme="minorEastAsia" w:hAnsiTheme="minorHAnsi"/>
              <w:lang w:eastAsia="en-AU"/>
            </w:rPr>
          </w:pPr>
          <w:hyperlink w:anchor="_Toc126074129" w:history="1">
            <w:r w:rsidR="000C1872" w:rsidRPr="00223ED1">
              <w:rPr>
                <w:rStyle w:val="Hyperlink"/>
              </w:rPr>
              <w:t>6.3.7</w:t>
            </w:r>
            <w:r w:rsidR="000C1872">
              <w:rPr>
                <w:rFonts w:asciiTheme="minorHAnsi" w:eastAsiaTheme="minorEastAsia" w:hAnsiTheme="minorHAnsi"/>
                <w:lang w:eastAsia="en-AU"/>
              </w:rPr>
              <w:tab/>
            </w:r>
            <w:r w:rsidR="000C1872" w:rsidRPr="00223ED1">
              <w:rPr>
                <w:rStyle w:val="Hyperlink"/>
              </w:rPr>
              <w:t>Further stakeholder consultation and international developments</w:t>
            </w:r>
            <w:r w:rsidR="000C1872">
              <w:rPr>
                <w:webHidden/>
              </w:rPr>
              <w:tab/>
            </w:r>
            <w:r w:rsidR="000C1872">
              <w:rPr>
                <w:webHidden/>
              </w:rPr>
              <w:fldChar w:fldCharType="begin"/>
            </w:r>
            <w:r w:rsidR="000C1872">
              <w:rPr>
                <w:webHidden/>
              </w:rPr>
              <w:instrText xml:space="preserve"> PAGEREF _Toc126074129 \h </w:instrText>
            </w:r>
            <w:r w:rsidR="000C1872">
              <w:rPr>
                <w:webHidden/>
              </w:rPr>
            </w:r>
            <w:r w:rsidR="000C1872">
              <w:rPr>
                <w:webHidden/>
              </w:rPr>
              <w:fldChar w:fldCharType="separate"/>
            </w:r>
            <w:r w:rsidR="00FA7021">
              <w:rPr>
                <w:webHidden/>
              </w:rPr>
              <w:t>22</w:t>
            </w:r>
            <w:r w:rsidR="000C1872">
              <w:rPr>
                <w:webHidden/>
              </w:rPr>
              <w:fldChar w:fldCharType="end"/>
            </w:r>
          </w:hyperlink>
        </w:p>
        <w:p w14:paraId="574511E0" w14:textId="0708A4D4" w:rsidR="000C1872" w:rsidRDefault="00254AB5" w:rsidP="000C1872">
          <w:pPr>
            <w:pStyle w:val="TOC1"/>
            <w:rPr>
              <w:rFonts w:asciiTheme="minorHAnsi" w:eastAsiaTheme="minorEastAsia" w:hAnsiTheme="minorHAnsi"/>
              <w:lang w:val="en-AU" w:eastAsia="en-AU"/>
            </w:rPr>
          </w:pPr>
          <w:hyperlink w:anchor="_Toc126074130" w:history="1">
            <w:r w:rsidR="000C1872" w:rsidRPr="00223ED1">
              <w:rPr>
                <w:rStyle w:val="Hyperlink"/>
              </w:rPr>
              <w:t>7</w:t>
            </w:r>
            <w:r w:rsidR="000C1872">
              <w:rPr>
                <w:rFonts w:asciiTheme="minorHAnsi" w:eastAsiaTheme="minorEastAsia" w:hAnsiTheme="minorHAnsi"/>
                <w:lang w:val="en-AU" w:eastAsia="en-AU"/>
              </w:rPr>
              <w:tab/>
            </w:r>
            <w:r w:rsidR="000C1872" w:rsidRPr="00223ED1">
              <w:rPr>
                <w:rStyle w:val="Hyperlink"/>
              </w:rPr>
              <w:t>What has informed the options?</w:t>
            </w:r>
            <w:r w:rsidR="000C1872">
              <w:rPr>
                <w:webHidden/>
              </w:rPr>
              <w:tab/>
            </w:r>
            <w:r w:rsidR="000C1872">
              <w:rPr>
                <w:webHidden/>
              </w:rPr>
              <w:fldChar w:fldCharType="begin"/>
            </w:r>
            <w:r w:rsidR="000C1872">
              <w:rPr>
                <w:webHidden/>
              </w:rPr>
              <w:instrText xml:space="preserve"> PAGEREF _Toc126074130 \h </w:instrText>
            </w:r>
            <w:r w:rsidR="000C1872">
              <w:rPr>
                <w:webHidden/>
              </w:rPr>
            </w:r>
            <w:r w:rsidR="000C1872">
              <w:rPr>
                <w:webHidden/>
              </w:rPr>
              <w:fldChar w:fldCharType="separate"/>
            </w:r>
            <w:r w:rsidR="00FA7021">
              <w:rPr>
                <w:webHidden/>
              </w:rPr>
              <w:t>23</w:t>
            </w:r>
            <w:r w:rsidR="000C1872">
              <w:rPr>
                <w:webHidden/>
              </w:rPr>
              <w:fldChar w:fldCharType="end"/>
            </w:r>
          </w:hyperlink>
        </w:p>
        <w:p w14:paraId="0FCB9EA9" w14:textId="5904F7A6" w:rsidR="000C1872" w:rsidRDefault="00254AB5">
          <w:pPr>
            <w:pStyle w:val="TOC2"/>
            <w:rPr>
              <w:rFonts w:asciiTheme="minorHAnsi" w:eastAsiaTheme="minorEastAsia" w:hAnsiTheme="minorHAnsi"/>
              <w:lang w:eastAsia="en-AU"/>
            </w:rPr>
          </w:pPr>
          <w:hyperlink w:anchor="_Toc126074131" w:history="1">
            <w:r w:rsidR="000C1872" w:rsidRPr="00223ED1">
              <w:rPr>
                <w:rStyle w:val="Hyperlink"/>
              </w:rPr>
              <w:t>7.1</w:t>
            </w:r>
            <w:r w:rsidR="000C1872">
              <w:rPr>
                <w:rFonts w:asciiTheme="minorHAnsi" w:eastAsiaTheme="minorEastAsia" w:hAnsiTheme="minorHAnsi"/>
                <w:lang w:eastAsia="en-AU"/>
              </w:rPr>
              <w:tab/>
            </w:r>
            <w:r w:rsidR="000C1872" w:rsidRPr="00223ED1">
              <w:rPr>
                <w:rStyle w:val="Hyperlink"/>
              </w:rPr>
              <w:t>Current safety standards</w:t>
            </w:r>
            <w:r w:rsidR="000C1872">
              <w:rPr>
                <w:webHidden/>
              </w:rPr>
              <w:tab/>
            </w:r>
            <w:r w:rsidR="000C1872">
              <w:rPr>
                <w:webHidden/>
              </w:rPr>
              <w:fldChar w:fldCharType="begin"/>
            </w:r>
            <w:r w:rsidR="000C1872">
              <w:rPr>
                <w:webHidden/>
              </w:rPr>
              <w:instrText xml:space="preserve"> PAGEREF _Toc126074131 \h </w:instrText>
            </w:r>
            <w:r w:rsidR="000C1872">
              <w:rPr>
                <w:webHidden/>
              </w:rPr>
            </w:r>
            <w:r w:rsidR="000C1872">
              <w:rPr>
                <w:webHidden/>
              </w:rPr>
              <w:fldChar w:fldCharType="separate"/>
            </w:r>
            <w:r w:rsidR="00FA7021">
              <w:rPr>
                <w:webHidden/>
              </w:rPr>
              <w:t>23</w:t>
            </w:r>
            <w:r w:rsidR="000C1872">
              <w:rPr>
                <w:webHidden/>
              </w:rPr>
              <w:fldChar w:fldCharType="end"/>
            </w:r>
          </w:hyperlink>
        </w:p>
        <w:p w14:paraId="11927C89" w14:textId="6AF14F1C" w:rsidR="000C1872" w:rsidRDefault="00254AB5">
          <w:pPr>
            <w:pStyle w:val="TOC2"/>
            <w:rPr>
              <w:rFonts w:asciiTheme="minorHAnsi" w:eastAsiaTheme="minorEastAsia" w:hAnsiTheme="minorHAnsi"/>
              <w:lang w:eastAsia="en-AU"/>
            </w:rPr>
          </w:pPr>
          <w:hyperlink w:anchor="_Toc126074132" w:history="1">
            <w:r w:rsidR="000C1872" w:rsidRPr="00223ED1">
              <w:rPr>
                <w:rStyle w:val="Hyperlink"/>
              </w:rPr>
              <w:t>7.2</w:t>
            </w:r>
            <w:r w:rsidR="000C1872">
              <w:rPr>
                <w:rFonts w:asciiTheme="minorHAnsi" w:eastAsiaTheme="minorEastAsia" w:hAnsiTheme="minorHAnsi"/>
                <w:lang w:eastAsia="en-AU"/>
              </w:rPr>
              <w:tab/>
            </w:r>
            <w:r w:rsidR="000C1872" w:rsidRPr="00223ED1">
              <w:rPr>
                <w:rStyle w:val="Hyperlink"/>
              </w:rPr>
              <w:t>Furniture stability testing</w:t>
            </w:r>
            <w:r w:rsidR="000C1872">
              <w:rPr>
                <w:webHidden/>
              </w:rPr>
              <w:tab/>
            </w:r>
            <w:r w:rsidR="000C1872">
              <w:rPr>
                <w:webHidden/>
              </w:rPr>
              <w:fldChar w:fldCharType="begin"/>
            </w:r>
            <w:r w:rsidR="000C1872">
              <w:rPr>
                <w:webHidden/>
              </w:rPr>
              <w:instrText xml:space="preserve"> PAGEREF _Toc126074132 \h </w:instrText>
            </w:r>
            <w:r w:rsidR="000C1872">
              <w:rPr>
                <w:webHidden/>
              </w:rPr>
            </w:r>
            <w:r w:rsidR="000C1872">
              <w:rPr>
                <w:webHidden/>
              </w:rPr>
              <w:fldChar w:fldCharType="separate"/>
            </w:r>
            <w:r w:rsidR="00FA7021">
              <w:rPr>
                <w:webHidden/>
              </w:rPr>
              <w:t>23</w:t>
            </w:r>
            <w:r w:rsidR="000C1872">
              <w:rPr>
                <w:webHidden/>
              </w:rPr>
              <w:fldChar w:fldCharType="end"/>
            </w:r>
          </w:hyperlink>
        </w:p>
        <w:p w14:paraId="3BC03DA8" w14:textId="0AD8C4EC" w:rsidR="000C1872" w:rsidRDefault="00254AB5" w:rsidP="000C1872">
          <w:pPr>
            <w:pStyle w:val="TOC1"/>
            <w:rPr>
              <w:rFonts w:asciiTheme="minorHAnsi" w:eastAsiaTheme="minorEastAsia" w:hAnsiTheme="minorHAnsi"/>
              <w:lang w:val="en-AU" w:eastAsia="en-AU"/>
            </w:rPr>
          </w:pPr>
          <w:hyperlink w:anchor="_Toc126074133" w:history="1">
            <w:r w:rsidR="000C1872" w:rsidRPr="00223ED1">
              <w:rPr>
                <w:rStyle w:val="Hyperlink"/>
              </w:rPr>
              <w:t>8</w:t>
            </w:r>
            <w:r w:rsidR="000C1872">
              <w:rPr>
                <w:rFonts w:asciiTheme="minorHAnsi" w:eastAsiaTheme="minorEastAsia" w:hAnsiTheme="minorHAnsi"/>
                <w:lang w:val="en-AU" w:eastAsia="en-AU"/>
              </w:rPr>
              <w:tab/>
            </w:r>
            <w:r w:rsidR="000C1872" w:rsidRPr="00223ED1">
              <w:rPr>
                <w:rStyle w:val="Hyperlink"/>
              </w:rPr>
              <w:t>What are the regulatory options?</w:t>
            </w:r>
            <w:r w:rsidR="000C1872">
              <w:rPr>
                <w:webHidden/>
              </w:rPr>
              <w:tab/>
            </w:r>
            <w:r w:rsidR="000C1872">
              <w:rPr>
                <w:webHidden/>
              </w:rPr>
              <w:fldChar w:fldCharType="begin"/>
            </w:r>
            <w:r w:rsidR="000C1872">
              <w:rPr>
                <w:webHidden/>
              </w:rPr>
              <w:instrText xml:space="preserve"> PAGEREF _Toc126074133 \h </w:instrText>
            </w:r>
            <w:r w:rsidR="000C1872">
              <w:rPr>
                <w:webHidden/>
              </w:rPr>
            </w:r>
            <w:r w:rsidR="000C1872">
              <w:rPr>
                <w:webHidden/>
              </w:rPr>
              <w:fldChar w:fldCharType="separate"/>
            </w:r>
            <w:r w:rsidR="00FA7021">
              <w:rPr>
                <w:webHidden/>
              </w:rPr>
              <w:t>24</w:t>
            </w:r>
            <w:r w:rsidR="000C1872">
              <w:rPr>
                <w:webHidden/>
              </w:rPr>
              <w:fldChar w:fldCharType="end"/>
            </w:r>
          </w:hyperlink>
        </w:p>
        <w:p w14:paraId="590A1E1C" w14:textId="67EB4F4B" w:rsidR="000C1872" w:rsidRDefault="00254AB5">
          <w:pPr>
            <w:pStyle w:val="TOC2"/>
            <w:rPr>
              <w:rFonts w:asciiTheme="minorHAnsi" w:eastAsiaTheme="minorEastAsia" w:hAnsiTheme="minorHAnsi"/>
              <w:lang w:eastAsia="en-AU"/>
            </w:rPr>
          </w:pPr>
          <w:hyperlink w:anchor="_Toc126074134" w:history="1">
            <w:r w:rsidR="000C1872" w:rsidRPr="00223ED1">
              <w:rPr>
                <w:rStyle w:val="Hyperlink"/>
              </w:rPr>
              <w:t>8.1</w:t>
            </w:r>
            <w:r w:rsidR="000C1872">
              <w:rPr>
                <w:rFonts w:asciiTheme="minorHAnsi" w:eastAsiaTheme="minorEastAsia" w:hAnsiTheme="minorHAnsi"/>
                <w:lang w:eastAsia="en-AU"/>
              </w:rPr>
              <w:tab/>
            </w:r>
            <w:r w:rsidR="000C1872" w:rsidRPr="00223ED1">
              <w:rPr>
                <w:rStyle w:val="Hyperlink"/>
              </w:rPr>
              <w:t>Regulatory options under the ACL</w:t>
            </w:r>
            <w:r w:rsidR="000C1872">
              <w:rPr>
                <w:webHidden/>
              </w:rPr>
              <w:tab/>
            </w:r>
            <w:r w:rsidR="000C1872">
              <w:rPr>
                <w:webHidden/>
              </w:rPr>
              <w:fldChar w:fldCharType="begin"/>
            </w:r>
            <w:r w:rsidR="000C1872">
              <w:rPr>
                <w:webHidden/>
              </w:rPr>
              <w:instrText xml:space="preserve"> PAGEREF _Toc126074134 \h </w:instrText>
            </w:r>
            <w:r w:rsidR="000C1872">
              <w:rPr>
                <w:webHidden/>
              </w:rPr>
            </w:r>
            <w:r w:rsidR="000C1872">
              <w:rPr>
                <w:webHidden/>
              </w:rPr>
              <w:fldChar w:fldCharType="separate"/>
            </w:r>
            <w:r w:rsidR="00FA7021">
              <w:rPr>
                <w:webHidden/>
              </w:rPr>
              <w:t>24</w:t>
            </w:r>
            <w:r w:rsidR="000C1872">
              <w:rPr>
                <w:webHidden/>
              </w:rPr>
              <w:fldChar w:fldCharType="end"/>
            </w:r>
          </w:hyperlink>
        </w:p>
        <w:p w14:paraId="74320E55" w14:textId="4D3C66E4" w:rsidR="000C1872" w:rsidRDefault="00254AB5">
          <w:pPr>
            <w:pStyle w:val="TOC2"/>
            <w:rPr>
              <w:rFonts w:asciiTheme="minorHAnsi" w:eastAsiaTheme="minorEastAsia" w:hAnsiTheme="minorHAnsi"/>
              <w:lang w:eastAsia="en-AU"/>
            </w:rPr>
          </w:pPr>
          <w:hyperlink w:anchor="_Toc126074135" w:history="1">
            <w:r w:rsidR="000C1872" w:rsidRPr="00223ED1">
              <w:rPr>
                <w:rStyle w:val="Hyperlink"/>
              </w:rPr>
              <w:t>8.2</w:t>
            </w:r>
            <w:r w:rsidR="000C1872">
              <w:rPr>
                <w:rFonts w:asciiTheme="minorHAnsi" w:eastAsiaTheme="minorEastAsia" w:hAnsiTheme="minorHAnsi"/>
                <w:lang w:eastAsia="en-AU"/>
              </w:rPr>
              <w:tab/>
            </w:r>
            <w:r w:rsidR="000C1872" w:rsidRPr="00223ED1">
              <w:rPr>
                <w:rStyle w:val="Hyperlink"/>
              </w:rPr>
              <w:t>Assessing the regulatory options</w:t>
            </w:r>
            <w:r w:rsidR="000C1872">
              <w:rPr>
                <w:webHidden/>
              </w:rPr>
              <w:tab/>
            </w:r>
            <w:r w:rsidR="000C1872">
              <w:rPr>
                <w:webHidden/>
              </w:rPr>
              <w:fldChar w:fldCharType="begin"/>
            </w:r>
            <w:r w:rsidR="000C1872">
              <w:rPr>
                <w:webHidden/>
              </w:rPr>
              <w:instrText xml:space="preserve"> PAGEREF _Toc126074135 \h </w:instrText>
            </w:r>
            <w:r w:rsidR="000C1872">
              <w:rPr>
                <w:webHidden/>
              </w:rPr>
            </w:r>
            <w:r w:rsidR="000C1872">
              <w:rPr>
                <w:webHidden/>
              </w:rPr>
              <w:fldChar w:fldCharType="separate"/>
            </w:r>
            <w:r w:rsidR="00FA7021">
              <w:rPr>
                <w:webHidden/>
              </w:rPr>
              <w:t>24</w:t>
            </w:r>
            <w:r w:rsidR="000C1872">
              <w:rPr>
                <w:webHidden/>
              </w:rPr>
              <w:fldChar w:fldCharType="end"/>
            </w:r>
          </w:hyperlink>
        </w:p>
        <w:p w14:paraId="3F5CBDE0" w14:textId="4A92E70B" w:rsidR="000C1872" w:rsidRDefault="00254AB5">
          <w:pPr>
            <w:pStyle w:val="TOC2"/>
            <w:rPr>
              <w:rFonts w:asciiTheme="minorHAnsi" w:eastAsiaTheme="minorEastAsia" w:hAnsiTheme="minorHAnsi"/>
              <w:lang w:eastAsia="en-AU"/>
            </w:rPr>
          </w:pPr>
          <w:hyperlink w:anchor="_Toc126074136" w:history="1">
            <w:r w:rsidR="000C1872" w:rsidRPr="00223ED1">
              <w:rPr>
                <w:rStyle w:val="Hyperlink"/>
              </w:rPr>
              <w:t>8.3</w:t>
            </w:r>
            <w:r w:rsidR="000C1872">
              <w:rPr>
                <w:rFonts w:asciiTheme="minorHAnsi" w:eastAsiaTheme="minorEastAsia" w:hAnsiTheme="minorHAnsi"/>
                <w:lang w:eastAsia="en-AU"/>
              </w:rPr>
              <w:tab/>
            </w:r>
            <w:r w:rsidR="000C1872" w:rsidRPr="00223ED1">
              <w:rPr>
                <w:rStyle w:val="Hyperlink"/>
              </w:rPr>
              <w:t>Option 1: Status quo</w:t>
            </w:r>
            <w:r w:rsidR="000C1872">
              <w:rPr>
                <w:webHidden/>
              </w:rPr>
              <w:tab/>
            </w:r>
            <w:r w:rsidR="000C1872">
              <w:rPr>
                <w:webHidden/>
              </w:rPr>
              <w:fldChar w:fldCharType="begin"/>
            </w:r>
            <w:r w:rsidR="000C1872">
              <w:rPr>
                <w:webHidden/>
              </w:rPr>
              <w:instrText xml:space="preserve"> PAGEREF _Toc126074136 \h </w:instrText>
            </w:r>
            <w:r w:rsidR="000C1872">
              <w:rPr>
                <w:webHidden/>
              </w:rPr>
            </w:r>
            <w:r w:rsidR="000C1872">
              <w:rPr>
                <w:webHidden/>
              </w:rPr>
              <w:fldChar w:fldCharType="separate"/>
            </w:r>
            <w:r w:rsidR="00FA7021">
              <w:rPr>
                <w:webHidden/>
              </w:rPr>
              <w:t>25</w:t>
            </w:r>
            <w:r w:rsidR="000C1872">
              <w:rPr>
                <w:webHidden/>
              </w:rPr>
              <w:fldChar w:fldCharType="end"/>
            </w:r>
          </w:hyperlink>
        </w:p>
        <w:p w14:paraId="63ED22E6" w14:textId="7318EF4C" w:rsidR="000C1872" w:rsidRDefault="00254AB5">
          <w:pPr>
            <w:pStyle w:val="TOC2"/>
            <w:rPr>
              <w:rFonts w:asciiTheme="minorHAnsi" w:eastAsiaTheme="minorEastAsia" w:hAnsiTheme="minorHAnsi"/>
              <w:lang w:eastAsia="en-AU"/>
            </w:rPr>
          </w:pPr>
          <w:hyperlink w:anchor="_Toc126074137" w:history="1">
            <w:r w:rsidR="000C1872" w:rsidRPr="00223ED1">
              <w:rPr>
                <w:rStyle w:val="Hyperlink"/>
              </w:rPr>
              <w:t>8.4</w:t>
            </w:r>
            <w:r w:rsidR="000C1872">
              <w:rPr>
                <w:rFonts w:asciiTheme="minorHAnsi" w:eastAsiaTheme="minorEastAsia" w:hAnsiTheme="minorHAnsi"/>
                <w:lang w:eastAsia="en-AU"/>
              </w:rPr>
              <w:tab/>
            </w:r>
            <w:r w:rsidR="000C1872" w:rsidRPr="00223ED1">
              <w:rPr>
                <w:rStyle w:val="Hyperlink"/>
              </w:rPr>
              <w:t>Option 2: Mandatory information standard (recommended)</w:t>
            </w:r>
            <w:r w:rsidR="000C1872">
              <w:rPr>
                <w:webHidden/>
              </w:rPr>
              <w:tab/>
            </w:r>
            <w:r w:rsidR="000C1872">
              <w:rPr>
                <w:webHidden/>
              </w:rPr>
              <w:fldChar w:fldCharType="begin"/>
            </w:r>
            <w:r w:rsidR="000C1872">
              <w:rPr>
                <w:webHidden/>
              </w:rPr>
              <w:instrText xml:space="preserve"> PAGEREF _Toc126074137 \h </w:instrText>
            </w:r>
            <w:r w:rsidR="000C1872">
              <w:rPr>
                <w:webHidden/>
              </w:rPr>
            </w:r>
            <w:r w:rsidR="000C1872">
              <w:rPr>
                <w:webHidden/>
              </w:rPr>
              <w:fldChar w:fldCharType="separate"/>
            </w:r>
            <w:r w:rsidR="00FA7021">
              <w:rPr>
                <w:webHidden/>
              </w:rPr>
              <w:t>25</w:t>
            </w:r>
            <w:r w:rsidR="000C1872">
              <w:rPr>
                <w:webHidden/>
              </w:rPr>
              <w:fldChar w:fldCharType="end"/>
            </w:r>
          </w:hyperlink>
        </w:p>
        <w:p w14:paraId="1B60BA4F" w14:textId="27901FFE" w:rsidR="000C1872" w:rsidRDefault="00254AB5">
          <w:pPr>
            <w:pStyle w:val="TOC3"/>
            <w:rPr>
              <w:rFonts w:asciiTheme="minorHAnsi" w:eastAsiaTheme="minorEastAsia" w:hAnsiTheme="minorHAnsi"/>
              <w:lang w:eastAsia="en-AU"/>
            </w:rPr>
          </w:pPr>
          <w:hyperlink w:anchor="_Toc126074138" w:history="1">
            <w:r w:rsidR="000C1872" w:rsidRPr="00223ED1">
              <w:rPr>
                <w:rStyle w:val="Hyperlink"/>
              </w:rPr>
              <w:t>8.4.1</w:t>
            </w:r>
            <w:r w:rsidR="000C1872">
              <w:rPr>
                <w:rFonts w:asciiTheme="minorHAnsi" w:eastAsiaTheme="minorEastAsia" w:hAnsiTheme="minorHAnsi"/>
                <w:lang w:eastAsia="en-AU"/>
              </w:rPr>
              <w:tab/>
            </w:r>
            <w:r w:rsidR="000C1872" w:rsidRPr="00223ED1">
              <w:rPr>
                <w:rStyle w:val="Hyperlink"/>
              </w:rPr>
              <w:t>Warning label and safety information to accompany the product</w:t>
            </w:r>
            <w:r w:rsidR="000C1872">
              <w:rPr>
                <w:webHidden/>
              </w:rPr>
              <w:tab/>
            </w:r>
            <w:r w:rsidR="000C1872">
              <w:rPr>
                <w:webHidden/>
              </w:rPr>
              <w:fldChar w:fldCharType="begin"/>
            </w:r>
            <w:r w:rsidR="000C1872">
              <w:rPr>
                <w:webHidden/>
              </w:rPr>
              <w:instrText xml:space="preserve"> PAGEREF _Toc126074138 \h </w:instrText>
            </w:r>
            <w:r w:rsidR="000C1872">
              <w:rPr>
                <w:webHidden/>
              </w:rPr>
            </w:r>
            <w:r w:rsidR="000C1872">
              <w:rPr>
                <w:webHidden/>
              </w:rPr>
              <w:fldChar w:fldCharType="separate"/>
            </w:r>
            <w:r w:rsidR="00FA7021">
              <w:rPr>
                <w:webHidden/>
              </w:rPr>
              <w:t>25</w:t>
            </w:r>
            <w:r w:rsidR="000C1872">
              <w:rPr>
                <w:webHidden/>
              </w:rPr>
              <w:fldChar w:fldCharType="end"/>
            </w:r>
          </w:hyperlink>
        </w:p>
        <w:p w14:paraId="68D819A0" w14:textId="22D0694A" w:rsidR="000C1872" w:rsidRDefault="00254AB5">
          <w:pPr>
            <w:pStyle w:val="TOC3"/>
            <w:rPr>
              <w:rFonts w:asciiTheme="minorHAnsi" w:eastAsiaTheme="minorEastAsia" w:hAnsiTheme="minorHAnsi"/>
              <w:lang w:eastAsia="en-AU"/>
            </w:rPr>
          </w:pPr>
          <w:hyperlink w:anchor="_Toc126074139" w:history="1">
            <w:r w:rsidR="000C1872" w:rsidRPr="00223ED1">
              <w:rPr>
                <w:rStyle w:val="Hyperlink"/>
              </w:rPr>
              <w:t>8.4.2</w:t>
            </w:r>
            <w:r w:rsidR="000C1872">
              <w:rPr>
                <w:rFonts w:asciiTheme="minorHAnsi" w:eastAsiaTheme="minorEastAsia" w:hAnsiTheme="minorHAnsi"/>
                <w:lang w:eastAsia="en-AU"/>
              </w:rPr>
              <w:tab/>
            </w:r>
            <w:r w:rsidR="000C1872" w:rsidRPr="00223ED1">
              <w:rPr>
                <w:rStyle w:val="Hyperlink"/>
              </w:rPr>
              <w:t>Compliant warning label and safety information example</w:t>
            </w:r>
            <w:r w:rsidR="000C1872">
              <w:rPr>
                <w:webHidden/>
              </w:rPr>
              <w:tab/>
            </w:r>
            <w:r w:rsidR="000C1872">
              <w:rPr>
                <w:webHidden/>
              </w:rPr>
              <w:fldChar w:fldCharType="begin"/>
            </w:r>
            <w:r w:rsidR="000C1872">
              <w:rPr>
                <w:webHidden/>
              </w:rPr>
              <w:instrText xml:space="preserve"> PAGEREF _Toc126074139 \h </w:instrText>
            </w:r>
            <w:r w:rsidR="000C1872">
              <w:rPr>
                <w:webHidden/>
              </w:rPr>
            </w:r>
            <w:r w:rsidR="000C1872">
              <w:rPr>
                <w:webHidden/>
              </w:rPr>
              <w:fldChar w:fldCharType="separate"/>
            </w:r>
            <w:r w:rsidR="00FA7021">
              <w:rPr>
                <w:webHidden/>
              </w:rPr>
              <w:t>27</w:t>
            </w:r>
            <w:r w:rsidR="000C1872">
              <w:rPr>
                <w:webHidden/>
              </w:rPr>
              <w:fldChar w:fldCharType="end"/>
            </w:r>
          </w:hyperlink>
        </w:p>
        <w:p w14:paraId="455C006B" w14:textId="05190BA4" w:rsidR="000C1872" w:rsidRDefault="00254AB5">
          <w:pPr>
            <w:pStyle w:val="TOC3"/>
            <w:rPr>
              <w:rFonts w:asciiTheme="minorHAnsi" w:eastAsiaTheme="minorEastAsia" w:hAnsiTheme="minorHAnsi"/>
              <w:lang w:eastAsia="en-AU"/>
            </w:rPr>
          </w:pPr>
          <w:hyperlink w:anchor="_Toc126074140" w:history="1">
            <w:r w:rsidR="000C1872" w:rsidRPr="00223ED1">
              <w:rPr>
                <w:rStyle w:val="Hyperlink"/>
              </w:rPr>
              <w:t>8.4.3</w:t>
            </w:r>
            <w:r w:rsidR="000C1872">
              <w:rPr>
                <w:rFonts w:asciiTheme="minorHAnsi" w:eastAsiaTheme="minorEastAsia" w:hAnsiTheme="minorHAnsi"/>
                <w:lang w:eastAsia="en-AU"/>
              </w:rPr>
              <w:tab/>
            </w:r>
            <w:r w:rsidR="000C1872" w:rsidRPr="00223ED1">
              <w:rPr>
                <w:rStyle w:val="Hyperlink"/>
              </w:rPr>
              <w:t>Providing warnings online</w:t>
            </w:r>
            <w:r w:rsidR="000C1872">
              <w:rPr>
                <w:webHidden/>
              </w:rPr>
              <w:tab/>
            </w:r>
            <w:r w:rsidR="000C1872">
              <w:rPr>
                <w:webHidden/>
              </w:rPr>
              <w:fldChar w:fldCharType="begin"/>
            </w:r>
            <w:r w:rsidR="000C1872">
              <w:rPr>
                <w:webHidden/>
              </w:rPr>
              <w:instrText xml:space="preserve"> PAGEREF _Toc126074140 \h </w:instrText>
            </w:r>
            <w:r w:rsidR="000C1872">
              <w:rPr>
                <w:webHidden/>
              </w:rPr>
            </w:r>
            <w:r w:rsidR="000C1872">
              <w:rPr>
                <w:webHidden/>
              </w:rPr>
              <w:fldChar w:fldCharType="separate"/>
            </w:r>
            <w:r w:rsidR="00FA7021">
              <w:rPr>
                <w:webHidden/>
              </w:rPr>
              <w:t>27</w:t>
            </w:r>
            <w:r w:rsidR="000C1872">
              <w:rPr>
                <w:webHidden/>
              </w:rPr>
              <w:fldChar w:fldCharType="end"/>
            </w:r>
          </w:hyperlink>
        </w:p>
        <w:p w14:paraId="7588D4EC" w14:textId="329EBC40" w:rsidR="000C1872" w:rsidRDefault="00254AB5">
          <w:pPr>
            <w:pStyle w:val="TOC3"/>
            <w:rPr>
              <w:rFonts w:asciiTheme="minorHAnsi" w:eastAsiaTheme="minorEastAsia" w:hAnsiTheme="minorHAnsi"/>
              <w:lang w:eastAsia="en-AU"/>
            </w:rPr>
          </w:pPr>
          <w:hyperlink w:anchor="_Toc126074141" w:history="1">
            <w:r w:rsidR="000C1872" w:rsidRPr="00223ED1">
              <w:rPr>
                <w:rStyle w:val="Hyperlink"/>
              </w:rPr>
              <w:t>8.4.4</w:t>
            </w:r>
            <w:r w:rsidR="000C1872">
              <w:rPr>
                <w:rFonts w:asciiTheme="minorHAnsi" w:eastAsiaTheme="minorEastAsia" w:hAnsiTheme="minorHAnsi"/>
                <w:lang w:eastAsia="en-AU"/>
              </w:rPr>
              <w:tab/>
            </w:r>
            <w:r w:rsidR="000C1872" w:rsidRPr="00223ED1">
              <w:rPr>
                <w:rStyle w:val="Hyperlink"/>
              </w:rPr>
              <w:t>Providing warnings in-store</w:t>
            </w:r>
            <w:r w:rsidR="000C1872">
              <w:rPr>
                <w:webHidden/>
              </w:rPr>
              <w:tab/>
            </w:r>
            <w:r w:rsidR="000C1872">
              <w:rPr>
                <w:webHidden/>
              </w:rPr>
              <w:fldChar w:fldCharType="begin"/>
            </w:r>
            <w:r w:rsidR="000C1872">
              <w:rPr>
                <w:webHidden/>
              </w:rPr>
              <w:instrText xml:space="preserve"> PAGEREF _Toc126074141 \h </w:instrText>
            </w:r>
            <w:r w:rsidR="000C1872">
              <w:rPr>
                <w:webHidden/>
              </w:rPr>
            </w:r>
            <w:r w:rsidR="000C1872">
              <w:rPr>
                <w:webHidden/>
              </w:rPr>
              <w:fldChar w:fldCharType="separate"/>
            </w:r>
            <w:r w:rsidR="00FA7021">
              <w:rPr>
                <w:webHidden/>
              </w:rPr>
              <w:t>28</w:t>
            </w:r>
            <w:r w:rsidR="000C1872">
              <w:rPr>
                <w:webHidden/>
              </w:rPr>
              <w:fldChar w:fldCharType="end"/>
            </w:r>
          </w:hyperlink>
        </w:p>
        <w:p w14:paraId="1D5D4996" w14:textId="79C71465" w:rsidR="000C1872" w:rsidRDefault="00254AB5">
          <w:pPr>
            <w:pStyle w:val="TOC3"/>
            <w:rPr>
              <w:rFonts w:asciiTheme="minorHAnsi" w:eastAsiaTheme="minorEastAsia" w:hAnsiTheme="minorHAnsi"/>
              <w:lang w:eastAsia="en-AU"/>
            </w:rPr>
          </w:pPr>
          <w:hyperlink w:anchor="_Toc126074142" w:history="1">
            <w:r w:rsidR="000C1872" w:rsidRPr="00223ED1">
              <w:rPr>
                <w:rStyle w:val="Hyperlink"/>
              </w:rPr>
              <w:t>8.4.5</w:t>
            </w:r>
            <w:r w:rsidR="000C1872">
              <w:rPr>
                <w:rFonts w:asciiTheme="minorHAnsi" w:eastAsiaTheme="minorEastAsia" w:hAnsiTheme="minorHAnsi"/>
                <w:lang w:eastAsia="en-AU"/>
              </w:rPr>
              <w:tab/>
            </w:r>
            <w:r w:rsidR="000C1872" w:rsidRPr="00223ED1">
              <w:rPr>
                <w:rStyle w:val="Hyperlink"/>
              </w:rPr>
              <w:t>Compliant hang tag example</w:t>
            </w:r>
            <w:r w:rsidR="000C1872">
              <w:rPr>
                <w:webHidden/>
              </w:rPr>
              <w:tab/>
            </w:r>
            <w:r w:rsidR="000C1872">
              <w:rPr>
                <w:webHidden/>
              </w:rPr>
              <w:fldChar w:fldCharType="begin"/>
            </w:r>
            <w:r w:rsidR="000C1872">
              <w:rPr>
                <w:webHidden/>
              </w:rPr>
              <w:instrText xml:space="preserve"> PAGEREF _Toc126074142 \h </w:instrText>
            </w:r>
            <w:r w:rsidR="000C1872">
              <w:rPr>
                <w:webHidden/>
              </w:rPr>
            </w:r>
            <w:r w:rsidR="000C1872">
              <w:rPr>
                <w:webHidden/>
              </w:rPr>
              <w:fldChar w:fldCharType="separate"/>
            </w:r>
            <w:r w:rsidR="00FA7021">
              <w:rPr>
                <w:webHidden/>
              </w:rPr>
              <w:t>28</w:t>
            </w:r>
            <w:r w:rsidR="000C1872">
              <w:rPr>
                <w:webHidden/>
              </w:rPr>
              <w:fldChar w:fldCharType="end"/>
            </w:r>
          </w:hyperlink>
        </w:p>
        <w:p w14:paraId="1EDCD00B" w14:textId="252A097E" w:rsidR="000C1872" w:rsidRDefault="00254AB5">
          <w:pPr>
            <w:pStyle w:val="TOC2"/>
            <w:rPr>
              <w:rFonts w:asciiTheme="minorHAnsi" w:eastAsiaTheme="minorEastAsia" w:hAnsiTheme="minorHAnsi"/>
              <w:lang w:eastAsia="en-AU"/>
            </w:rPr>
          </w:pPr>
          <w:hyperlink w:anchor="_Toc126074143" w:history="1">
            <w:r w:rsidR="000C1872" w:rsidRPr="00223ED1">
              <w:rPr>
                <w:rStyle w:val="Hyperlink"/>
              </w:rPr>
              <w:t>8.5</w:t>
            </w:r>
            <w:r w:rsidR="000C1872">
              <w:rPr>
                <w:rFonts w:asciiTheme="minorHAnsi" w:eastAsiaTheme="minorEastAsia" w:hAnsiTheme="minorHAnsi"/>
                <w:lang w:eastAsia="en-AU"/>
              </w:rPr>
              <w:tab/>
            </w:r>
            <w:r w:rsidR="000C1872" w:rsidRPr="00223ED1">
              <w:rPr>
                <w:rStyle w:val="Hyperlink"/>
              </w:rPr>
              <w:t>Option 3: Mandatory safety standard – warnings, anchors and stability</w:t>
            </w:r>
            <w:r w:rsidR="000C1872">
              <w:rPr>
                <w:webHidden/>
              </w:rPr>
              <w:tab/>
            </w:r>
            <w:r w:rsidR="000C1872">
              <w:rPr>
                <w:webHidden/>
              </w:rPr>
              <w:fldChar w:fldCharType="begin"/>
            </w:r>
            <w:r w:rsidR="000C1872">
              <w:rPr>
                <w:webHidden/>
              </w:rPr>
              <w:instrText xml:space="preserve"> PAGEREF _Toc126074143 \h </w:instrText>
            </w:r>
            <w:r w:rsidR="000C1872">
              <w:rPr>
                <w:webHidden/>
              </w:rPr>
            </w:r>
            <w:r w:rsidR="000C1872">
              <w:rPr>
                <w:webHidden/>
              </w:rPr>
              <w:fldChar w:fldCharType="separate"/>
            </w:r>
            <w:r w:rsidR="00FA7021">
              <w:rPr>
                <w:webHidden/>
              </w:rPr>
              <w:t>29</w:t>
            </w:r>
            <w:r w:rsidR="000C1872">
              <w:rPr>
                <w:webHidden/>
              </w:rPr>
              <w:fldChar w:fldCharType="end"/>
            </w:r>
          </w:hyperlink>
        </w:p>
        <w:p w14:paraId="1825F397" w14:textId="184D01A2" w:rsidR="000C1872" w:rsidRDefault="00254AB5">
          <w:pPr>
            <w:pStyle w:val="TOC3"/>
            <w:rPr>
              <w:rFonts w:asciiTheme="minorHAnsi" w:eastAsiaTheme="minorEastAsia" w:hAnsiTheme="minorHAnsi"/>
              <w:lang w:eastAsia="en-AU"/>
            </w:rPr>
          </w:pPr>
          <w:hyperlink w:anchor="_Toc126074144" w:history="1">
            <w:r w:rsidR="000C1872" w:rsidRPr="00223ED1">
              <w:rPr>
                <w:rStyle w:val="Hyperlink"/>
              </w:rPr>
              <w:t>8.5.1</w:t>
            </w:r>
            <w:r w:rsidR="000C1872">
              <w:rPr>
                <w:rFonts w:asciiTheme="minorHAnsi" w:eastAsiaTheme="minorEastAsia" w:hAnsiTheme="minorHAnsi"/>
                <w:lang w:eastAsia="en-AU"/>
              </w:rPr>
              <w:tab/>
            </w:r>
            <w:r w:rsidR="000C1872" w:rsidRPr="00223ED1">
              <w:rPr>
                <w:rStyle w:val="Hyperlink"/>
              </w:rPr>
              <w:t>Anchoring device</w:t>
            </w:r>
            <w:r w:rsidR="000C1872">
              <w:rPr>
                <w:webHidden/>
              </w:rPr>
              <w:tab/>
            </w:r>
            <w:r w:rsidR="000C1872">
              <w:rPr>
                <w:webHidden/>
              </w:rPr>
              <w:fldChar w:fldCharType="begin"/>
            </w:r>
            <w:r w:rsidR="000C1872">
              <w:rPr>
                <w:webHidden/>
              </w:rPr>
              <w:instrText xml:space="preserve"> PAGEREF _Toc126074144 \h </w:instrText>
            </w:r>
            <w:r w:rsidR="000C1872">
              <w:rPr>
                <w:webHidden/>
              </w:rPr>
            </w:r>
            <w:r w:rsidR="000C1872">
              <w:rPr>
                <w:webHidden/>
              </w:rPr>
              <w:fldChar w:fldCharType="separate"/>
            </w:r>
            <w:r w:rsidR="00FA7021">
              <w:rPr>
                <w:webHidden/>
              </w:rPr>
              <w:t>29</w:t>
            </w:r>
            <w:r w:rsidR="000C1872">
              <w:rPr>
                <w:webHidden/>
              </w:rPr>
              <w:fldChar w:fldCharType="end"/>
            </w:r>
          </w:hyperlink>
        </w:p>
        <w:p w14:paraId="02FEA72D" w14:textId="242448AD" w:rsidR="000C1872" w:rsidRDefault="00254AB5">
          <w:pPr>
            <w:pStyle w:val="TOC3"/>
            <w:rPr>
              <w:rFonts w:asciiTheme="minorHAnsi" w:eastAsiaTheme="minorEastAsia" w:hAnsiTheme="minorHAnsi"/>
              <w:lang w:eastAsia="en-AU"/>
            </w:rPr>
          </w:pPr>
          <w:hyperlink w:anchor="_Toc126074145" w:history="1">
            <w:r w:rsidR="000C1872" w:rsidRPr="00223ED1">
              <w:rPr>
                <w:rStyle w:val="Hyperlink"/>
              </w:rPr>
              <w:t>8.5.2</w:t>
            </w:r>
            <w:r w:rsidR="000C1872">
              <w:rPr>
                <w:rFonts w:asciiTheme="minorHAnsi" w:eastAsiaTheme="minorEastAsia" w:hAnsiTheme="minorHAnsi"/>
                <w:lang w:eastAsia="en-AU"/>
              </w:rPr>
              <w:tab/>
            </w:r>
            <w:r w:rsidR="000C1872" w:rsidRPr="00223ED1">
              <w:rPr>
                <w:rStyle w:val="Hyperlink"/>
              </w:rPr>
              <w:t>Stability requirement</w:t>
            </w:r>
            <w:r w:rsidR="000C1872">
              <w:rPr>
                <w:webHidden/>
              </w:rPr>
              <w:tab/>
            </w:r>
            <w:r w:rsidR="000C1872">
              <w:rPr>
                <w:webHidden/>
              </w:rPr>
              <w:fldChar w:fldCharType="begin"/>
            </w:r>
            <w:r w:rsidR="000C1872">
              <w:rPr>
                <w:webHidden/>
              </w:rPr>
              <w:instrText xml:space="preserve"> PAGEREF _Toc126074145 \h </w:instrText>
            </w:r>
            <w:r w:rsidR="000C1872">
              <w:rPr>
                <w:webHidden/>
              </w:rPr>
            </w:r>
            <w:r w:rsidR="000C1872">
              <w:rPr>
                <w:webHidden/>
              </w:rPr>
              <w:fldChar w:fldCharType="separate"/>
            </w:r>
            <w:r w:rsidR="00FA7021">
              <w:rPr>
                <w:webHidden/>
              </w:rPr>
              <w:t>29</w:t>
            </w:r>
            <w:r w:rsidR="000C1872">
              <w:rPr>
                <w:webHidden/>
              </w:rPr>
              <w:fldChar w:fldCharType="end"/>
            </w:r>
          </w:hyperlink>
        </w:p>
        <w:p w14:paraId="7E60091D" w14:textId="1B14C9CF" w:rsidR="000C1872" w:rsidRDefault="00254AB5">
          <w:pPr>
            <w:pStyle w:val="TOC2"/>
            <w:rPr>
              <w:rFonts w:asciiTheme="minorHAnsi" w:eastAsiaTheme="minorEastAsia" w:hAnsiTheme="minorHAnsi"/>
              <w:lang w:eastAsia="en-AU"/>
            </w:rPr>
          </w:pPr>
          <w:hyperlink w:anchor="_Toc126074146" w:history="1">
            <w:r w:rsidR="000C1872" w:rsidRPr="00223ED1">
              <w:rPr>
                <w:rStyle w:val="Hyperlink"/>
              </w:rPr>
              <w:t>8.6</w:t>
            </w:r>
            <w:r w:rsidR="000C1872">
              <w:rPr>
                <w:rFonts w:asciiTheme="minorHAnsi" w:eastAsiaTheme="minorEastAsia" w:hAnsiTheme="minorHAnsi"/>
                <w:lang w:eastAsia="en-AU"/>
              </w:rPr>
              <w:tab/>
            </w:r>
            <w:r w:rsidR="000C1872" w:rsidRPr="00223ED1">
              <w:rPr>
                <w:rStyle w:val="Hyperlink"/>
              </w:rPr>
              <w:t>Option 4: A mandatory safety standard and a mandatory information standard</w:t>
            </w:r>
            <w:r w:rsidR="000C1872">
              <w:rPr>
                <w:webHidden/>
              </w:rPr>
              <w:tab/>
            </w:r>
            <w:r w:rsidR="000C1872">
              <w:rPr>
                <w:webHidden/>
              </w:rPr>
              <w:fldChar w:fldCharType="begin"/>
            </w:r>
            <w:r w:rsidR="000C1872">
              <w:rPr>
                <w:webHidden/>
              </w:rPr>
              <w:instrText xml:space="preserve"> PAGEREF _Toc126074146 \h </w:instrText>
            </w:r>
            <w:r w:rsidR="000C1872">
              <w:rPr>
                <w:webHidden/>
              </w:rPr>
            </w:r>
            <w:r w:rsidR="000C1872">
              <w:rPr>
                <w:webHidden/>
              </w:rPr>
              <w:fldChar w:fldCharType="separate"/>
            </w:r>
            <w:r w:rsidR="00FA7021">
              <w:rPr>
                <w:webHidden/>
              </w:rPr>
              <w:t>30</w:t>
            </w:r>
            <w:r w:rsidR="000C1872">
              <w:rPr>
                <w:webHidden/>
              </w:rPr>
              <w:fldChar w:fldCharType="end"/>
            </w:r>
          </w:hyperlink>
        </w:p>
        <w:p w14:paraId="454A9E57" w14:textId="0EBE1198" w:rsidR="000C1872" w:rsidRDefault="00254AB5" w:rsidP="000C1872">
          <w:pPr>
            <w:pStyle w:val="TOC1"/>
            <w:rPr>
              <w:rFonts w:asciiTheme="minorHAnsi" w:eastAsiaTheme="minorEastAsia" w:hAnsiTheme="minorHAnsi"/>
              <w:lang w:val="en-AU" w:eastAsia="en-AU"/>
            </w:rPr>
          </w:pPr>
          <w:hyperlink w:anchor="_Toc126074147" w:history="1">
            <w:r w:rsidR="000C1872" w:rsidRPr="00223ED1">
              <w:rPr>
                <w:rStyle w:val="Hyperlink"/>
              </w:rPr>
              <w:t>9</w:t>
            </w:r>
            <w:r w:rsidR="000C1872">
              <w:rPr>
                <w:rFonts w:asciiTheme="minorHAnsi" w:eastAsiaTheme="minorEastAsia" w:hAnsiTheme="minorHAnsi"/>
                <w:lang w:val="en-AU" w:eastAsia="en-AU"/>
              </w:rPr>
              <w:tab/>
            </w:r>
            <w:r w:rsidR="000C1872" w:rsidRPr="00223ED1">
              <w:rPr>
                <w:rStyle w:val="Hyperlink"/>
              </w:rPr>
              <w:t>Costs and benefits of regulatory intervention</w:t>
            </w:r>
            <w:r w:rsidR="000C1872">
              <w:rPr>
                <w:webHidden/>
              </w:rPr>
              <w:tab/>
            </w:r>
            <w:r w:rsidR="000C1872">
              <w:rPr>
                <w:webHidden/>
              </w:rPr>
              <w:fldChar w:fldCharType="begin"/>
            </w:r>
            <w:r w:rsidR="000C1872">
              <w:rPr>
                <w:webHidden/>
              </w:rPr>
              <w:instrText xml:space="preserve"> PAGEREF _Toc126074147 \h </w:instrText>
            </w:r>
            <w:r w:rsidR="000C1872">
              <w:rPr>
                <w:webHidden/>
              </w:rPr>
            </w:r>
            <w:r w:rsidR="000C1872">
              <w:rPr>
                <w:webHidden/>
              </w:rPr>
              <w:fldChar w:fldCharType="separate"/>
            </w:r>
            <w:r w:rsidR="00FA7021">
              <w:rPr>
                <w:webHidden/>
              </w:rPr>
              <w:t>31</w:t>
            </w:r>
            <w:r w:rsidR="000C1872">
              <w:rPr>
                <w:webHidden/>
              </w:rPr>
              <w:fldChar w:fldCharType="end"/>
            </w:r>
          </w:hyperlink>
        </w:p>
        <w:p w14:paraId="5AA9434D" w14:textId="510BBC88" w:rsidR="000C1872" w:rsidRDefault="00254AB5">
          <w:pPr>
            <w:pStyle w:val="TOC2"/>
            <w:rPr>
              <w:rFonts w:asciiTheme="minorHAnsi" w:eastAsiaTheme="minorEastAsia" w:hAnsiTheme="minorHAnsi"/>
              <w:lang w:eastAsia="en-AU"/>
            </w:rPr>
          </w:pPr>
          <w:hyperlink w:anchor="_Toc126074148" w:history="1">
            <w:r w:rsidR="000C1872" w:rsidRPr="00223ED1">
              <w:rPr>
                <w:rStyle w:val="Hyperlink"/>
              </w:rPr>
              <w:t>9.1</w:t>
            </w:r>
            <w:r w:rsidR="000C1872">
              <w:rPr>
                <w:rFonts w:asciiTheme="minorHAnsi" w:eastAsiaTheme="minorEastAsia" w:hAnsiTheme="minorHAnsi"/>
                <w:lang w:eastAsia="en-AU"/>
              </w:rPr>
              <w:tab/>
            </w:r>
            <w:r w:rsidR="000C1872" w:rsidRPr="00223ED1">
              <w:rPr>
                <w:rStyle w:val="Hyperlink"/>
              </w:rPr>
              <w:t>Costs of compliance</w:t>
            </w:r>
            <w:r w:rsidR="000C1872">
              <w:rPr>
                <w:webHidden/>
              </w:rPr>
              <w:tab/>
            </w:r>
            <w:r w:rsidR="000C1872">
              <w:rPr>
                <w:webHidden/>
              </w:rPr>
              <w:fldChar w:fldCharType="begin"/>
            </w:r>
            <w:r w:rsidR="000C1872">
              <w:rPr>
                <w:webHidden/>
              </w:rPr>
              <w:instrText xml:space="preserve"> PAGEREF _Toc126074148 \h </w:instrText>
            </w:r>
            <w:r w:rsidR="000C1872">
              <w:rPr>
                <w:webHidden/>
              </w:rPr>
            </w:r>
            <w:r w:rsidR="000C1872">
              <w:rPr>
                <w:webHidden/>
              </w:rPr>
              <w:fldChar w:fldCharType="separate"/>
            </w:r>
            <w:r w:rsidR="00FA7021">
              <w:rPr>
                <w:webHidden/>
              </w:rPr>
              <w:t>31</w:t>
            </w:r>
            <w:r w:rsidR="000C1872">
              <w:rPr>
                <w:webHidden/>
              </w:rPr>
              <w:fldChar w:fldCharType="end"/>
            </w:r>
          </w:hyperlink>
        </w:p>
        <w:p w14:paraId="2A87B6B1" w14:textId="76F59626" w:rsidR="000C1872" w:rsidRDefault="00254AB5">
          <w:pPr>
            <w:pStyle w:val="TOC2"/>
            <w:rPr>
              <w:rFonts w:asciiTheme="minorHAnsi" w:eastAsiaTheme="minorEastAsia" w:hAnsiTheme="minorHAnsi"/>
              <w:lang w:eastAsia="en-AU"/>
            </w:rPr>
          </w:pPr>
          <w:hyperlink w:anchor="_Toc126074149" w:history="1">
            <w:r w:rsidR="000C1872" w:rsidRPr="00223ED1">
              <w:rPr>
                <w:rStyle w:val="Hyperlink"/>
              </w:rPr>
              <w:t>9.2</w:t>
            </w:r>
            <w:r w:rsidR="000C1872">
              <w:rPr>
                <w:rFonts w:asciiTheme="minorHAnsi" w:eastAsiaTheme="minorEastAsia" w:hAnsiTheme="minorHAnsi"/>
                <w:lang w:eastAsia="en-AU"/>
              </w:rPr>
              <w:tab/>
            </w:r>
            <w:r w:rsidR="000C1872" w:rsidRPr="00223ED1">
              <w:rPr>
                <w:rStyle w:val="Hyperlink"/>
              </w:rPr>
              <w:t>Benefits associated with regulation</w:t>
            </w:r>
            <w:r w:rsidR="000C1872">
              <w:rPr>
                <w:webHidden/>
              </w:rPr>
              <w:tab/>
            </w:r>
            <w:r w:rsidR="000C1872">
              <w:rPr>
                <w:webHidden/>
              </w:rPr>
              <w:fldChar w:fldCharType="begin"/>
            </w:r>
            <w:r w:rsidR="000C1872">
              <w:rPr>
                <w:webHidden/>
              </w:rPr>
              <w:instrText xml:space="preserve"> PAGEREF _Toc126074149 \h </w:instrText>
            </w:r>
            <w:r w:rsidR="000C1872">
              <w:rPr>
                <w:webHidden/>
              </w:rPr>
            </w:r>
            <w:r w:rsidR="000C1872">
              <w:rPr>
                <w:webHidden/>
              </w:rPr>
              <w:fldChar w:fldCharType="separate"/>
            </w:r>
            <w:r w:rsidR="00FA7021">
              <w:rPr>
                <w:webHidden/>
              </w:rPr>
              <w:t>32</w:t>
            </w:r>
            <w:r w:rsidR="000C1872">
              <w:rPr>
                <w:webHidden/>
              </w:rPr>
              <w:fldChar w:fldCharType="end"/>
            </w:r>
          </w:hyperlink>
        </w:p>
        <w:p w14:paraId="33787659" w14:textId="5536CCAE" w:rsidR="000C1872" w:rsidRDefault="00254AB5">
          <w:pPr>
            <w:pStyle w:val="TOC2"/>
            <w:rPr>
              <w:rFonts w:asciiTheme="minorHAnsi" w:eastAsiaTheme="minorEastAsia" w:hAnsiTheme="minorHAnsi"/>
              <w:lang w:eastAsia="en-AU"/>
            </w:rPr>
          </w:pPr>
          <w:hyperlink w:anchor="_Toc126074150" w:history="1">
            <w:r w:rsidR="000C1872" w:rsidRPr="00223ED1">
              <w:rPr>
                <w:rStyle w:val="Hyperlink"/>
              </w:rPr>
              <w:t>9.3</w:t>
            </w:r>
            <w:r w:rsidR="000C1872">
              <w:rPr>
                <w:rFonts w:asciiTheme="minorHAnsi" w:eastAsiaTheme="minorEastAsia" w:hAnsiTheme="minorHAnsi"/>
                <w:lang w:eastAsia="en-AU"/>
              </w:rPr>
              <w:tab/>
            </w:r>
            <w:r w:rsidR="000C1872" w:rsidRPr="00223ED1">
              <w:rPr>
                <w:rStyle w:val="Hyperlink"/>
              </w:rPr>
              <w:t>Sensitivity Analysis</w:t>
            </w:r>
            <w:r w:rsidR="000C1872">
              <w:rPr>
                <w:webHidden/>
              </w:rPr>
              <w:tab/>
            </w:r>
            <w:r w:rsidR="000C1872">
              <w:rPr>
                <w:webHidden/>
              </w:rPr>
              <w:fldChar w:fldCharType="begin"/>
            </w:r>
            <w:r w:rsidR="000C1872">
              <w:rPr>
                <w:webHidden/>
              </w:rPr>
              <w:instrText xml:space="preserve"> PAGEREF _Toc126074150 \h </w:instrText>
            </w:r>
            <w:r w:rsidR="000C1872">
              <w:rPr>
                <w:webHidden/>
              </w:rPr>
            </w:r>
            <w:r w:rsidR="000C1872">
              <w:rPr>
                <w:webHidden/>
              </w:rPr>
              <w:fldChar w:fldCharType="separate"/>
            </w:r>
            <w:r w:rsidR="00FA7021">
              <w:rPr>
                <w:webHidden/>
              </w:rPr>
              <w:t>32</w:t>
            </w:r>
            <w:r w:rsidR="000C1872">
              <w:rPr>
                <w:webHidden/>
              </w:rPr>
              <w:fldChar w:fldCharType="end"/>
            </w:r>
          </w:hyperlink>
        </w:p>
        <w:p w14:paraId="2F610A34" w14:textId="5233902D" w:rsidR="000C1872" w:rsidRDefault="00254AB5">
          <w:pPr>
            <w:pStyle w:val="TOC2"/>
            <w:rPr>
              <w:rFonts w:asciiTheme="minorHAnsi" w:eastAsiaTheme="minorEastAsia" w:hAnsiTheme="minorHAnsi"/>
              <w:lang w:eastAsia="en-AU"/>
            </w:rPr>
          </w:pPr>
          <w:hyperlink w:anchor="_Toc126074151" w:history="1">
            <w:r w:rsidR="000C1872" w:rsidRPr="00223ED1">
              <w:rPr>
                <w:rStyle w:val="Hyperlink"/>
              </w:rPr>
              <w:t>9.4</w:t>
            </w:r>
            <w:r w:rsidR="000C1872">
              <w:rPr>
                <w:rFonts w:asciiTheme="minorHAnsi" w:eastAsiaTheme="minorEastAsia" w:hAnsiTheme="minorHAnsi"/>
                <w:lang w:eastAsia="en-AU"/>
              </w:rPr>
              <w:tab/>
            </w:r>
            <w:r w:rsidR="000C1872" w:rsidRPr="00223ED1">
              <w:rPr>
                <w:rStyle w:val="Hyperlink"/>
              </w:rPr>
              <w:t>Maintaining the status quo</w:t>
            </w:r>
            <w:r w:rsidR="000C1872">
              <w:rPr>
                <w:webHidden/>
              </w:rPr>
              <w:tab/>
            </w:r>
            <w:r w:rsidR="000C1872">
              <w:rPr>
                <w:webHidden/>
              </w:rPr>
              <w:fldChar w:fldCharType="begin"/>
            </w:r>
            <w:r w:rsidR="000C1872">
              <w:rPr>
                <w:webHidden/>
              </w:rPr>
              <w:instrText xml:space="preserve"> PAGEREF _Toc126074151 \h </w:instrText>
            </w:r>
            <w:r w:rsidR="000C1872">
              <w:rPr>
                <w:webHidden/>
              </w:rPr>
            </w:r>
            <w:r w:rsidR="000C1872">
              <w:rPr>
                <w:webHidden/>
              </w:rPr>
              <w:fldChar w:fldCharType="separate"/>
            </w:r>
            <w:r w:rsidR="00FA7021">
              <w:rPr>
                <w:webHidden/>
              </w:rPr>
              <w:t>33</w:t>
            </w:r>
            <w:r w:rsidR="000C1872">
              <w:rPr>
                <w:webHidden/>
              </w:rPr>
              <w:fldChar w:fldCharType="end"/>
            </w:r>
          </w:hyperlink>
        </w:p>
        <w:p w14:paraId="38D12683" w14:textId="65CAA864" w:rsidR="000C1872" w:rsidRDefault="00254AB5" w:rsidP="000C1872">
          <w:pPr>
            <w:pStyle w:val="TOC1"/>
            <w:rPr>
              <w:rFonts w:asciiTheme="minorHAnsi" w:eastAsiaTheme="minorEastAsia" w:hAnsiTheme="minorHAnsi"/>
              <w:lang w:val="en-AU" w:eastAsia="en-AU"/>
            </w:rPr>
          </w:pPr>
          <w:hyperlink w:anchor="_Toc126074152" w:history="1">
            <w:r w:rsidR="000C1872" w:rsidRPr="00223ED1">
              <w:rPr>
                <w:rStyle w:val="Hyperlink"/>
              </w:rPr>
              <w:t>10</w:t>
            </w:r>
            <w:r w:rsidR="000C1872">
              <w:rPr>
                <w:rFonts w:asciiTheme="minorHAnsi" w:eastAsiaTheme="minorEastAsia" w:hAnsiTheme="minorHAnsi"/>
                <w:lang w:val="en-AU" w:eastAsia="en-AU"/>
              </w:rPr>
              <w:tab/>
            </w:r>
            <w:r w:rsidR="000C1872" w:rsidRPr="00223ED1">
              <w:rPr>
                <w:rStyle w:val="Hyperlink"/>
              </w:rPr>
              <w:t>What is the best option?</w:t>
            </w:r>
            <w:r w:rsidR="000C1872">
              <w:rPr>
                <w:webHidden/>
              </w:rPr>
              <w:tab/>
            </w:r>
            <w:r w:rsidR="000C1872">
              <w:rPr>
                <w:webHidden/>
              </w:rPr>
              <w:fldChar w:fldCharType="begin"/>
            </w:r>
            <w:r w:rsidR="000C1872">
              <w:rPr>
                <w:webHidden/>
              </w:rPr>
              <w:instrText xml:space="preserve"> PAGEREF _Toc126074152 \h </w:instrText>
            </w:r>
            <w:r w:rsidR="000C1872">
              <w:rPr>
                <w:webHidden/>
              </w:rPr>
            </w:r>
            <w:r w:rsidR="000C1872">
              <w:rPr>
                <w:webHidden/>
              </w:rPr>
              <w:fldChar w:fldCharType="separate"/>
            </w:r>
            <w:r w:rsidR="00FA7021">
              <w:rPr>
                <w:webHidden/>
              </w:rPr>
              <w:t>35</w:t>
            </w:r>
            <w:r w:rsidR="000C1872">
              <w:rPr>
                <w:webHidden/>
              </w:rPr>
              <w:fldChar w:fldCharType="end"/>
            </w:r>
          </w:hyperlink>
        </w:p>
        <w:p w14:paraId="4ABF3D37" w14:textId="7C4FD8CB" w:rsidR="000C1872" w:rsidRDefault="00254AB5">
          <w:pPr>
            <w:pStyle w:val="TOC2"/>
            <w:rPr>
              <w:rFonts w:asciiTheme="minorHAnsi" w:eastAsiaTheme="minorEastAsia" w:hAnsiTheme="minorHAnsi"/>
              <w:lang w:eastAsia="en-AU"/>
            </w:rPr>
          </w:pPr>
          <w:hyperlink w:anchor="_Toc126074153" w:history="1">
            <w:r w:rsidR="000C1872" w:rsidRPr="00223ED1">
              <w:rPr>
                <w:rStyle w:val="Hyperlink"/>
              </w:rPr>
              <w:t>10.1</w:t>
            </w:r>
            <w:r w:rsidR="000C1872">
              <w:rPr>
                <w:rFonts w:asciiTheme="minorHAnsi" w:eastAsiaTheme="minorEastAsia" w:hAnsiTheme="minorHAnsi"/>
                <w:lang w:eastAsia="en-AU"/>
              </w:rPr>
              <w:tab/>
            </w:r>
            <w:r w:rsidR="000C1872" w:rsidRPr="00223ED1">
              <w:rPr>
                <w:rStyle w:val="Hyperlink"/>
              </w:rPr>
              <w:t>Recommended option</w:t>
            </w:r>
            <w:r w:rsidR="000C1872">
              <w:rPr>
                <w:webHidden/>
              </w:rPr>
              <w:tab/>
            </w:r>
            <w:r w:rsidR="000C1872">
              <w:rPr>
                <w:webHidden/>
              </w:rPr>
              <w:fldChar w:fldCharType="begin"/>
            </w:r>
            <w:r w:rsidR="000C1872">
              <w:rPr>
                <w:webHidden/>
              </w:rPr>
              <w:instrText xml:space="preserve"> PAGEREF _Toc126074153 \h </w:instrText>
            </w:r>
            <w:r w:rsidR="000C1872">
              <w:rPr>
                <w:webHidden/>
              </w:rPr>
            </w:r>
            <w:r w:rsidR="000C1872">
              <w:rPr>
                <w:webHidden/>
              </w:rPr>
              <w:fldChar w:fldCharType="separate"/>
            </w:r>
            <w:r w:rsidR="00FA7021">
              <w:rPr>
                <w:webHidden/>
              </w:rPr>
              <w:t>35</w:t>
            </w:r>
            <w:r w:rsidR="000C1872">
              <w:rPr>
                <w:webHidden/>
              </w:rPr>
              <w:fldChar w:fldCharType="end"/>
            </w:r>
          </w:hyperlink>
        </w:p>
        <w:p w14:paraId="259C47B7" w14:textId="1F4FA67B" w:rsidR="000C1872" w:rsidRDefault="00254AB5">
          <w:pPr>
            <w:pStyle w:val="TOC2"/>
            <w:rPr>
              <w:rFonts w:asciiTheme="minorHAnsi" w:eastAsiaTheme="minorEastAsia" w:hAnsiTheme="minorHAnsi"/>
              <w:lang w:eastAsia="en-AU"/>
            </w:rPr>
          </w:pPr>
          <w:hyperlink w:anchor="_Toc126074154" w:history="1">
            <w:r w:rsidR="000C1872" w:rsidRPr="00223ED1">
              <w:rPr>
                <w:rStyle w:val="Hyperlink"/>
              </w:rPr>
              <w:t>10.2</w:t>
            </w:r>
            <w:r w:rsidR="000C1872">
              <w:rPr>
                <w:rFonts w:asciiTheme="minorHAnsi" w:eastAsiaTheme="minorEastAsia" w:hAnsiTheme="minorHAnsi"/>
                <w:lang w:eastAsia="en-AU"/>
              </w:rPr>
              <w:tab/>
            </w:r>
            <w:r w:rsidR="000C1872" w:rsidRPr="00223ED1">
              <w:rPr>
                <w:rStyle w:val="Hyperlink"/>
              </w:rPr>
              <w:t>Complementary measures</w:t>
            </w:r>
            <w:r w:rsidR="000C1872">
              <w:rPr>
                <w:webHidden/>
              </w:rPr>
              <w:tab/>
            </w:r>
            <w:r w:rsidR="000C1872">
              <w:rPr>
                <w:webHidden/>
              </w:rPr>
              <w:fldChar w:fldCharType="begin"/>
            </w:r>
            <w:r w:rsidR="000C1872">
              <w:rPr>
                <w:webHidden/>
              </w:rPr>
              <w:instrText xml:space="preserve"> PAGEREF _Toc126074154 \h </w:instrText>
            </w:r>
            <w:r w:rsidR="000C1872">
              <w:rPr>
                <w:webHidden/>
              </w:rPr>
            </w:r>
            <w:r w:rsidR="000C1872">
              <w:rPr>
                <w:webHidden/>
              </w:rPr>
              <w:fldChar w:fldCharType="separate"/>
            </w:r>
            <w:r w:rsidR="00FA7021">
              <w:rPr>
                <w:webHidden/>
              </w:rPr>
              <w:t>35</w:t>
            </w:r>
            <w:r w:rsidR="000C1872">
              <w:rPr>
                <w:webHidden/>
              </w:rPr>
              <w:fldChar w:fldCharType="end"/>
            </w:r>
          </w:hyperlink>
        </w:p>
        <w:p w14:paraId="7777FE0F" w14:textId="52B938BA" w:rsidR="000C1872" w:rsidRDefault="00254AB5">
          <w:pPr>
            <w:pStyle w:val="TOC2"/>
            <w:rPr>
              <w:rFonts w:asciiTheme="minorHAnsi" w:eastAsiaTheme="minorEastAsia" w:hAnsiTheme="minorHAnsi"/>
              <w:lang w:eastAsia="en-AU"/>
            </w:rPr>
          </w:pPr>
          <w:hyperlink w:anchor="_Toc126074155" w:history="1">
            <w:r w:rsidR="000C1872" w:rsidRPr="00223ED1">
              <w:rPr>
                <w:rStyle w:val="Hyperlink"/>
              </w:rPr>
              <w:t>10.3</w:t>
            </w:r>
            <w:r w:rsidR="000C1872">
              <w:rPr>
                <w:rFonts w:asciiTheme="minorHAnsi" w:eastAsiaTheme="minorEastAsia" w:hAnsiTheme="minorHAnsi"/>
                <w:lang w:eastAsia="en-AU"/>
              </w:rPr>
              <w:tab/>
            </w:r>
            <w:r w:rsidR="000C1872" w:rsidRPr="00223ED1">
              <w:rPr>
                <w:rStyle w:val="Hyperlink"/>
              </w:rPr>
              <w:t>Benefits of a mandatory information standard</w:t>
            </w:r>
            <w:r w:rsidR="000C1872">
              <w:rPr>
                <w:webHidden/>
              </w:rPr>
              <w:tab/>
            </w:r>
            <w:r w:rsidR="000C1872">
              <w:rPr>
                <w:webHidden/>
              </w:rPr>
              <w:fldChar w:fldCharType="begin"/>
            </w:r>
            <w:r w:rsidR="000C1872">
              <w:rPr>
                <w:webHidden/>
              </w:rPr>
              <w:instrText xml:space="preserve"> PAGEREF _Toc126074155 \h </w:instrText>
            </w:r>
            <w:r w:rsidR="000C1872">
              <w:rPr>
                <w:webHidden/>
              </w:rPr>
            </w:r>
            <w:r w:rsidR="000C1872">
              <w:rPr>
                <w:webHidden/>
              </w:rPr>
              <w:fldChar w:fldCharType="separate"/>
            </w:r>
            <w:r w:rsidR="00FA7021">
              <w:rPr>
                <w:webHidden/>
              </w:rPr>
              <w:t>36</w:t>
            </w:r>
            <w:r w:rsidR="000C1872">
              <w:rPr>
                <w:webHidden/>
              </w:rPr>
              <w:fldChar w:fldCharType="end"/>
            </w:r>
          </w:hyperlink>
        </w:p>
        <w:p w14:paraId="515A89B2" w14:textId="00F9FA1A" w:rsidR="000C1872" w:rsidRDefault="00254AB5">
          <w:pPr>
            <w:pStyle w:val="TOC2"/>
            <w:rPr>
              <w:rFonts w:asciiTheme="minorHAnsi" w:eastAsiaTheme="minorEastAsia" w:hAnsiTheme="minorHAnsi"/>
              <w:lang w:eastAsia="en-AU"/>
            </w:rPr>
          </w:pPr>
          <w:hyperlink w:anchor="_Toc126074156" w:history="1">
            <w:r w:rsidR="000C1872" w:rsidRPr="00223ED1">
              <w:rPr>
                <w:rStyle w:val="Hyperlink"/>
              </w:rPr>
              <w:t>10.4</w:t>
            </w:r>
            <w:r w:rsidR="000C1872">
              <w:rPr>
                <w:rFonts w:asciiTheme="minorHAnsi" w:eastAsiaTheme="minorEastAsia" w:hAnsiTheme="minorHAnsi"/>
                <w:lang w:eastAsia="en-AU"/>
              </w:rPr>
              <w:tab/>
            </w:r>
            <w:r w:rsidR="000C1872" w:rsidRPr="00223ED1">
              <w:rPr>
                <w:rStyle w:val="Hyperlink"/>
              </w:rPr>
              <w:t>Issues with introducing a stability requirement</w:t>
            </w:r>
            <w:r w:rsidR="000C1872">
              <w:rPr>
                <w:webHidden/>
              </w:rPr>
              <w:tab/>
            </w:r>
            <w:r w:rsidR="000C1872">
              <w:rPr>
                <w:webHidden/>
              </w:rPr>
              <w:fldChar w:fldCharType="begin"/>
            </w:r>
            <w:r w:rsidR="000C1872">
              <w:rPr>
                <w:webHidden/>
              </w:rPr>
              <w:instrText xml:space="preserve"> PAGEREF _Toc126074156 \h </w:instrText>
            </w:r>
            <w:r w:rsidR="000C1872">
              <w:rPr>
                <w:webHidden/>
              </w:rPr>
            </w:r>
            <w:r w:rsidR="000C1872">
              <w:rPr>
                <w:webHidden/>
              </w:rPr>
              <w:fldChar w:fldCharType="separate"/>
            </w:r>
            <w:r w:rsidR="00FA7021">
              <w:rPr>
                <w:webHidden/>
              </w:rPr>
              <w:t>36</w:t>
            </w:r>
            <w:r w:rsidR="000C1872">
              <w:rPr>
                <w:webHidden/>
              </w:rPr>
              <w:fldChar w:fldCharType="end"/>
            </w:r>
          </w:hyperlink>
        </w:p>
        <w:p w14:paraId="1961626F" w14:textId="3D87DDF4" w:rsidR="000C1872" w:rsidRDefault="00254AB5">
          <w:pPr>
            <w:pStyle w:val="TOC2"/>
            <w:rPr>
              <w:rFonts w:asciiTheme="minorHAnsi" w:eastAsiaTheme="minorEastAsia" w:hAnsiTheme="minorHAnsi"/>
              <w:lang w:eastAsia="en-AU"/>
            </w:rPr>
          </w:pPr>
          <w:hyperlink w:anchor="_Toc126074157" w:history="1">
            <w:r w:rsidR="000C1872" w:rsidRPr="00223ED1">
              <w:rPr>
                <w:rStyle w:val="Hyperlink"/>
              </w:rPr>
              <w:t>10.5</w:t>
            </w:r>
            <w:r w:rsidR="000C1872">
              <w:rPr>
                <w:rFonts w:asciiTheme="minorHAnsi" w:eastAsiaTheme="minorEastAsia" w:hAnsiTheme="minorHAnsi"/>
                <w:lang w:eastAsia="en-AU"/>
              </w:rPr>
              <w:tab/>
            </w:r>
            <w:r w:rsidR="000C1872" w:rsidRPr="00223ED1">
              <w:rPr>
                <w:rStyle w:val="Hyperlink"/>
              </w:rPr>
              <w:t>Issues with introducing an anchoring device</w:t>
            </w:r>
            <w:r w:rsidR="000C1872">
              <w:rPr>
                <w:webHidden/>
              </w:rPr>
              <w:tab/>
            </w:r>
            <w:r w:rsidR="000C1872">
              <w:rPr>
                <w:webHidden/>
              </w:rPr>
              <w:fldChar w:fldCharType="begin"/>
            </w:r>
            <w:r w:rsidR="000C1872">
              <w:rPr>
                <w:webHidden/>
              </w:rPr>
              <w:instrText xml:space="preserve"> PAGEREF _Toc126074157 \h </w:instrText>
            </w:r>
            <w:r w:rsidR="000C1872">
              <w:rPr>
                <w:webHidden/>
              </w:rPr>
            </w:r>
            <w:r w:rsidR="000C1872">
              <w:rPr>
                <w:webHidden/>
              </w:rPr>
              <w:fldChar w:fldCharType="separate"/>
            </w:r>
            <w:r w:rsidR="00FA7021">
              <w:rPr>
                <w:webHidden/>
              </w:rPr>
              <w:t>37</w:t>
            </w:r>
            <w:r w:rsidR="000C1872">
              <w:rPr>
                <w:webHidden/>
              </w:rPr>
              <w:fldChar w:fldCharType="end"/>
            </w:r>
          </w:hyperlink>
        </w:p>
        <w:p w14:paraId="4809FDF6" w14:textId="50F68AA7" w:rsidR="000C1872" w:rsidRDefault="00254AB5" w:rsidP="000C1872">
          <w:pPr>
            <w:pStyle w:val="TOC1"/>
            <w:rPr>
              <w:rFonts w:asciiTheme="minorHAnsi" w:eastAsiaTheme="minorEastAsia" w:hAnsiTheme="minorHAnsi"/>
              <w:lang w:val="en-AU" w:eastAsia="en-AU"/>
            </w:rPr>
          </w:pPr>
          <w:hyperlink w:anchor="_Toc126074158" w:history="1">
            <w:r w:rsidR="000C1872" w:rsidRPr="00223ED1">
              <w:rPr>
                <w:rStyle w:val="Hyperlink"/>
              </w:rPr>
              <w:t>11</w:t>
            </w:r>
            <w:r w:rsidR="000C1872">
              <w:rPr>
                <w:rFonts w:asciiTheme="minorHAnsi" w:eastAsiaTheme="minorEastAsia" w:hAnsiTheme="minorHAnsi"/>
                <w:lang w:val="en-AU" w:eastAsia="en-AU"/>
              </w:rPr>
              <w:tab/>
            </w:r>
            <w:r w:rsidR="000C1872" w:rsidRPr="00223ED1">
              <w:rPr>
                <w:rStyle w:val="Hyperlink"/>
              </w:rPr>
              <w:t>How will the ACCC implement and evaluate the chosen option?</w:t>
            </w:r>
            <w:r w:rsidR="000C1872">
              <w:rPr>
                <w:webHidden/>
              </w:rPr>
              <w:tab/>
            </w:r>
            <w:r w:rsidR="000C1872">
              <w:rPr>
                <w:webHidden/>
              </w:rPr>
              <w:fldChar w:fldCharType="begin"/>
            </w:r>
            <w:r w:rsidR="000C1872">
              <w:rPr>
                <w:webHidden/>
              </w:rPr>
              <w:instrText xml:space="preserve"> PAGEREF _Toc126074158 \h </w:instrText>
            </w:r>
            <w:r w:rsidR="000C1872">
              <w:rPr>
                <w:webHidden/>
              </w:rPr>
            </w:r>
            <w:r w:rsidR="000C1872">
              <w:rPr>
                <w:webHidden/>
              </w:rPr>
              <w:fldChar w:fldCharType="separate"/>
            </w:r>
            <w:r w:rsidR="00FA7021">
              <w:rPr>
                <w:webHidden/>
              </w:rPr>
              <w:t>38</w:t>
            </w:r>
            <w:r w:rsidR="000C1872">
              <w:rPr>
                <w:webHidden/>
              </w:rPr>
              <w:fldChar w:fldCharType="end"/>
            </w:r>
          </w:hyperlink>
        </w:p>
        <w:p w14:paraId="4260A4B4" w14:textId="2257C9BF" w:rsidR="000C1872" w:rsidRDefault="00254AB5">
          <w:pPr>
            <w:pStyle w:val="TOC2"/>
            <w:rPr>
              <w:rFonts w:asciiTheme="minorHAnsi" w:eastAsiaTheme="minorEastAsia" w:hAnsiTheme="minorHAnsi"/>
              <w:lang w:eastAsia="en-AU"/>
            </w:rPr>
          </w:pPr>
          <w:hyperlink w:anchor="_Toc126074159" w:history="1">
            <w:r w:rsidR="000C1872" w:rsidRPr="00223ED1">
              <w:rPr>
                <w:rStyle w:val="Hyperlink"/>
              </w:rPr>
              <w:t>11.1</w:t>
            </w:r>
            <w:r w:rsidR="000C1872">
              <w:rPr>
                <w:rFonts w:asciiTheme="minorHAnsi" w:eastAsiaTheme="minorEastAsia" w:hAnsiTheme="minorHAnsi"/>
                <w:lang w:eastAsia="en-AU"/>
              </w:rPr>
              <w:tab/>
            </w:r>
            <w:r w:rsidR="000C1872" w:rsidRPr="00223ED1">
              <w:rPr>
                <w:rStyle w:val="Hyperlink"/>
              </w:rPr>
              <w:t>Implementation and review</w:t>
            </w:r>
            <w:r w:rsidR="000C1872">
              <w:rPr>
                <w:webHidden/>
              </w:rPr>
              <w:tab/>
            </w:r>
            <w:r w:rsidR="000C1872">
              <w:rPr>
                <w:webHidden/>
              </w:rPr>
              <w:fldChar w:fldCharType="begin"/>
            </w:r>
            <w:r w:rsidR="000C1872">
              <w:rPr>
                <w:webHidden/>
              </w:rPr>
              <w:instrText xml:space="preserve"> PAGEREF _Toc126074159 \h </w:instrText>
            </w:r>
            <w:r w:rsidR="000C1872">
              <w:rPr>
                <w:webHidden/>
              </w:rPr>
            </w:r>
            <w:r w:rsidR="000C1872">
              <w:rPr>
                <w:webHidden/>
              </w:rPr>
              <w:fldChar w:fldCharType="separate"/>
            </w:r>
            <w:r w:rsidR="00FA7021">
              <w:rPr>
                <w:webHidden/>
              </w:rPr>
              <w:t>38</w:t>
            </w:r>
            <w:r w:rsidR="000C1872">
              <w:rPr>
                <w:webHidden/>
              </w:rPr>
              <w:fldChar w:fldCharType="end"/>
            </w:r>
          </w:hyperlink>
        </w:p>
        <w:p w14:paraId="109B5B2B" w14:textId="5AB3F3AD" w:rsidR="000C1872" w:rsidRDefault="00254AB5">
          <w:pPr>
            <w:pStyle w:val="TOC3"/>
            <w:rPr>
              <w:rFonts w:asciiTheme="minorHAnsi" w:eastAsiaTheme="minorEastAsia" w:hAnsiTheme="minorHAnsi"/>
              <w:lang w:eastAsia="en-AU"/>
            </w:rPr>
          </w:pPr>
          <w:hyperlink w:anchor="_Toc126074160" w:history="1">
            <w:r w:rsidR="000C1872" w:rsidRPr="00223ED1">
              <w:rPr>
                <w:rStyle w:val="Hyperlink"/>
              </w:rPr>
              <w:t>11.1.1</w:t>
            </w:r>
            <w:r w:rsidR="000C1872">
              <w:rPr>
                <w:rFonts w:asciiTheme="minorHAnsi" w:eastAsiaTheme="minorEastAsia" w:hAnsiTheme="minorHAnsi"/>
                <w:lang w:eastAsia="en-AU"/>
              </w:rPr>
              <w:tab/>
            </w:r>
            <w:r w:rsidR="000C1872" w:rsidRPr="00223ED1">
              <w:rPr>
                <w:rStyle w:val="Hyperlink"/>
              </w:rPr>
              <w:t>Transition period</w:t>
            </w:r>
            <w:r w:rsidR="000C1872">
              <w:rPr>
                <w:webHidden/>
              </w:rPr>
              <w:tab/>
            </w:r>
            <w:r w:rsidR="000C1872">
              <w:rPr>
                <w:webHidden/>
              </w:rPr>
              <w:fldChar w:fldCharType="begin"/>
            </w:r>
            <w:r w:rsidR="000C1872">
              <w:rPr>
                <w:webHidden/>
              </w:rPr>
              <w:instrText xml:space="preserve"> PAGEREF _Toc126074160 \h </w:instrText>
            </w:r>
            <w:r w:rsidR="000C1872">
              <w:rPr>
                <w:webHidden/>
              </w:rPr>
            </w:r>
            <w:r w:rsidR="000C1872">
              <w:rPr>
                <w:webHidden/>
              </w:rPr>
              <w:fldChar w:fldCharType="separate"/>
            </w:r>
            <w:r w:rsidR="00FA7021">
              <w:rPr>
                <w:webHidden/>
              </w:rPr>
              <w:t>38</w:t>
            </w:r>
            <w:r w:rsidR="000C1872">
              <w:rPr>
                <w:webHidden/>
              </w:rPr>
              <w:fldChar w:fldCharType="end"/>
            </w:r>
          </w:hyperlink>
        </w:p>
        <w:p w14:paraId="330548EE" w14:textId="1C11FF6B" w:rsidR="000C1872" w:rsidRDefault="00254AB5">
          <w:pPr>
            <w:pStyle w:val="TOC3"/>
            <w:rPr>
              <w:rFonts w:asciiTheme="minorHAnsi" w:eastAsiaTheme="minorEastAsia" w:hAnsiTheme="minorHAnsi"/>
              <w:lang w:eastAsia="en-AU"/>
            </w:rPr>
          </w:pPr>
          <w:hyperlink w:anchor="_Toc126074161" w:history="1">
            <w:r w:rsidR="000C1872" w:rsidRPr="00223ED1">
              <w:rPr>
                <w:rStyle w:val="Hyperlink"/>
              </w:rPr>
              <w:t>11.1.2</w:t>
            </w:r>
            <w:r w:rsidR="000C1872">
              <w:rPr>
                <w:rFonts w:asciiTheme="minorHAnsi" w:eastAsiaTheme="minorEastAsia" w:hAnsiTheme="minorHAnsi"/>
                <w:lang w:eastAsia="en-AU"/>
              </w:rPr>
              <w:tab/>
            </w:r>
            <w:r w:rsidR="000C1872" w:rsidRPr="00223ED1">
              <w:rPr>
                <w:rStyle w:val="Hyperlink"/>
              </w:rPr>
              <w:t>Review of standard</w:t>
            </w:r>
            <w:r w:rsidR="000C1872">
              <w:rPr>
                <w:webHidden/>
              </w:rPr>
              <w:tab/>
            </w:r>
            <w:r w:rsidR="000C1872">
              <w:rPr>
                <w:webHidden/>
              </w:rPr>
              <w:fldChar w:fldCharType="begin"/>
            </w:r>
            <w:r w:rsidR="000C1872">
              <w:rPr>
                <w:webHidden/>
              </w:rPr>
              <w:instrText xml:space="preserve"> PAGEREF _Toc126074161 \h </w:instrText>
            </w:r>
            <w:r w:rsidR="000C1872">
              <w:rPr>
                <w:webHidden/>
              </w:rPr>
            </w:r>
            <w:r w:rsidR="000C1872">
              <w:rPr>
                <w:webHidden/>
              </w:rPr>
              <w:fldChar w:fldCharType="separate"/>
            </w:r>
            <w:r w:rsidR="00FA7021">
              <w:rPr>
                <w:webHidden/>
              </w:rPr>
              <w:t>38</w:t>
            </w:r>
            <w:r w:rsidR="000C1872">
              <w:rPr>
                <w:webHidden/>
              </w:rPr>
              <w:fldChar w:fldCharType="end"/>
            </w:r>
          </w:hyperlink>
        </w:p>
        <w:p w14:paraId="6CCB90CD" w14:textId="4D77A3C3" w:rsidR="000C1872" w:rsidRDefault="00254AB5">
          <w:pPr>
            <w:pStyle w:val="TOC3"/>
            <w:rPr>
              <w:rFonts w:asciiTheme="minorHAnsi" w:eastAsiaTheme="minorEastAsia" w:hAnsiTheme="minorHAnsi"/>
              <w:lang w:eastAsia="en-AU"/>
            </w:rPr>
          </w:pPr>
          <w:hyperlink w:anchor="_Toc126074162" w:history="1">
            <w:r w:rsidR="000C1872" w:rsidRPr="00223ED1">
              <w:rPr>
                <w:rStyle w:val="Hyperlink"/>
              </w:rPr>
              <w:t>11.1.3</w:t>
            </w:r>
            <w:r w:rsidR="000C1872">
              <w:rPr>
                <w:rFonts w:asciiTheme="minorHAnsi" w:eastAsiaTheme="minorEastAsia" w:hAnsiTheme="minorHAnsi"/>
                <w:lang w:eastAsia="en-AU"/>
              </w:rPr>
              <w:tab/>
            </w:r>
            <w:r w:rsidR="000C1872" w:rsidRPr="00223ED1">
              <w:rPr>
                <w:rStyle w:val="Hyperlink"/>
              </w:rPr>
              <w:t>Administrative guidance</w:t>
            </w:r>
            <w:r w:rsidR="000C1872">
              <w:rPr>
                <w:webHidden/>
              </w:rPr>
              <w:tab/>
            </w:r>
            <w:r w:rsidR="000C1872">
              <w:rPr>
                <w:webHidden/>
              </w:rPr>
              <w:fldChar w:fldCharType="begin"/>
            </w:r>
            <w:r w:rsidR="000C1872">
              <w:rPr>
                <w:webHidden/>
              </w:rPr>
              <w:instrText xml:space="preserve"> PAGEREF _Toc126074162 \h </w:instrText>
            </w:r>
            <w:r w:rsidR="000C1872">
              <w:rPr>
                <w:webHidden/>
              </w:rPr>
            </w:r>
            <w:r w:rsidR="000C1872">
              <w:rPr>
                <w:webHidden/>
              </w:rPr>
              <w:fldChar w:fldCharType="separate"/>
            </w:r>
            <w:r w:rsidR="00FA7021">
              <w:rPr>
                <w:webHidden/>
              </w:rPr>
              <w:t>39</w:t>
            </w:r>
            <w:r w:rsidR="000C1872">
              <w:rPr>
                <w:webHidden/>
              </w:rPr>
              <w:fldChar w:fldCharType="end"/>
            </w:r>
          </w:hyperlink>
        </w:p>
        <w:p w14:paraId="587EE71B" w14:textId="7B3EEB6E" w:rsidR="000C1872" w:rsidRDefault="00254AB5" w:rsidP="000C1872">
          <w:pPr>
            <w:pStyle w:val="TOC1"/>
            <w:rPr>
              <w:rFonts w:asciiTheme="minorHAnsi" w:eastAsiaTheme="minorEastAsia" w:hAnsiTheme="minorHAnsi"/>
              <w:lang w:val="en-AU" w:eastAsia="en-AU"/>
            </w:rPr>
          </w:pPr>
          <w:hyperlink w:anchor="_Toc126074163" w:history="1">
            <w:r w:rsidR="000C1872" w:rsidRPr="00223ED1">
              <w:rPr>
                <w:rStyle w:val="Hyperlink"/>
              </w:rPr>
              <w:t>Appendix A : Major milestones</w:t>
            </w:r>
            <w:r w:rsidR="000C1872">
              <w:rPr>
                <w:webHidden/>
              </w:rPr>
              <w:tab/>
            </w:r>
            <w:r w:rsidR="000C1872">
              <w:rPr>
                <w:webHidden/>
              </w:rPr>
              <w:fldChar w:fldCharType="begin"/>
            </w:r>
            <w:r w:rsidR="000C1872">
              <w:rPr>
                <w:webHidden/>
              </w:rPr>
              <w:instrText xml:space="preserve"> PAGEREF _Toc126074163 \h </w:instrText>
            </w:r>
            <w:r w:rsidR="000C1872">
              <w:rPr>
                <w:webHidden/>
              </w:rPr>
            </w:r>
            <w:r w:rsidR="000C1872">
              <w:rPr>
                <w:webHidden/>
              </w:rPr>
              <w:fldChar w:fldCharType="separate"/>
            </w:r>
            <w:r w:rsidR="00FA7021">
              <w:rPr>
                <w:webHidden/>
              </w:rPr>
              <w:t>40</w:t>
            </w:r>
            <w:r w:rsidR="000C1872">
              <w:rPr>
                <w:webHidden/>
              </w:rPr>
              <w:fldChar w:fldCharType="end"/>
            </w:r>
          </w:hyperlink>
        </w:p>
        <w:p w14:paraId="1774E089" w14:textId="63AEF091" w:rsidR="000C1872" w:rsidRDefault="00254AB5" w:rsidP="000C1872">
          <w:pPr>
            <w:pStyle w:val="TOC1"/>
            <w:rPr>
              <w:rFonts w:asciiTheme="minorHAnsi" w:eastAsiaTheme="minorEastAsia" w:hAnsiTheme="minorHAnsi"/>
              <w:lang w:val="en-AU" w:eastAsia="en-AU"/>
            </w:rPr>
          </w:pPr>
          <w:hyperlink w:anchor="_Toc126074164" w:history="1">
            <w:r w:rsidR="000C1872" w:rsidRPr="00223ED1">
              <w:rPr>
                <w:rStyle w:val="Hyperlink"/>
              </w:rPr>
              <w:t>Attachment A: 2021 Issues Paper and Consultation RIS stakeholder list</w:t>
            </w:r>
            <w:r w:rsidR="000C1872">
              <w:rPr>
                <w:webHidden/>
              </w:rPr>
              <w:tab/>
            </w:r>
            <w:r w:rsidR="000C1872">
              <w:rPr>
                <w:webHidden/>
              </w:rPr>
              <w:fldChar w:fldCharType="begin"/>
            </w:r>
            <w:r w:rsidR="000C1872">
              <w:rPr>
                <w:webHidden/>
              </w:rPr>
              <w:instrText xml:space="preserve"> PAGEREF _Toc126074164 \h </w:instrText>
            </w:r>
            <w:r w:rsidR="000C1872">
              <w:rPr>
                <w:webHidden/>
              </w:rPr>
            </w:r>
            <w:r w:rsidR="000C1872">
              <w:rPr>
                <w:webHidden/>
              </w:rPr>
              <w:fldChar w:fldCharType="separate"/>
            </w:r>
            <w:r w:rsidR="00FA7021">
              <w:rPr>
                <w:webHidden/>
              </w:rPr>
              <w:t>41</w:t>
            </w:r>
            <w:r w:rsidR="000C1872">
              <w:rPr>
                <w:webHidden/>
              </w:rPr>
              <w:fldChar w:fldCharType="end"/>
            </w:r>
          </w:hyperlink>
        </w:p>
        <w:p w14:paraId="79D6A68E" w14:textId="170FCCA6" w:rsidR="000C1872" w:rsidRDefault="00254AB5" w:rsidP="000C1872">
          <w:pPr>
            <w:pStyle w:val="TOC1"/>
            <w:rPr>
              <w:rFonts w:asciiTheme="minorHAnsi" w:eastAsiaTheme="minorEastAsia" w:hAnsiTheme="minorHAnsi"/>
              <w:lang w:val="en-AU" w:eastAsia="en-AU"/>
            </w:rPr>
          </w:pPr>
          <w:hyperlink w:anchor="_Toc126074165" w:history="1">
            <w:r w:rsidR="000C1872" w:rsidRPr="00223ED1">
              <w:rPr>
                <w:rStyle w:val="Hyperlink"/>
              </w:rPr>
              <w:t>Attachment B: Cost benefit analysis - assumptions</w:t>
            </w:r>
            <w:r w:rsidR="000C1872">
              <w:rPr>
                <w:webHidden/>
              </w:rPr>
              <w:tab/>
            </w:r>
            <w:r w:rsidR="000C1872">
              <w:rPr>
                <w:webHidden/>
              </w:rPr>
              <w:fldChar w:fldCharType="begin"/>
            </w:r>
            <w:r w:rsidR="000C1872">
              <w:rPr>
                <w:webHidden/>
              </w:rPr>
              <w:instrText xml:space="preserve"> PAGEREF _Toc126074165 \h </w:instrText>
            </w:r>
            <w:r w:rsidR="000C1872">
              <w:rPr>
                <w:webHidden/>
              </w:rPr>
            </w:r>
            <w:r w:rsidR="000C1872">
              <w:rPr>
                <w:webHidden/>
              </w:rPr>
              <w:fldChar w:fldCharType="separate"/>
            </w:r>
            <w:r w:rsidR="00FA7021">
              <w:rPr>
                <w:webHidden/>
              </w:rPr>
              <w:t>44</w:t>
            </w:r>
            <w:r w:rsidR="000C1872">
              <w:rPr>
                <w:webHidden/>
              </w:rPr>
              <w:fldChar w:fldCharType="end"/>
            </w:r>
          </w:hyperlink>
        </w:p>
        <w:p w14:paraId="06768498" w14:textId="405E69B2" w:rsidR="00FA7E89" w:rsidRPr="005D4886" w:rsidRDefault="00D64D17" w:rsidP="00493DA2">
          <w:pPr>
            <w:pStyle w:val="Heading1"/>
            <w:numPr>
              <w:ilvl w:val="0"/>
              <w:numId w:val="0"/>
            </w:numPr>
            <w:spacing w:beforeLines="60" w:before="144" w:afterLines="60" w:after="144"/>
            <w:rPr>
              <w:sz w:val="32"/>
              <w:szCs w:val="24"/>
            </w:rPr>
          </w:pPr>
          <w:r w:rsidRPr="00CE7CA6">
            <w:rPr>
              <w:rFonts w:asciiTheme="minorHAnsi" w:hAnsiTheme="minorHAnsi" w:cstheme="minorHAnsi"/>
              <w:sz w:val="20"/>
              <w:szCs w:val="20"/>
            </w:rPr>
            <w:fldChar w:fldCharType="end"/>
          </w:r>
        </w:p>
        <w:bookmarkStart w:id="77" w:name="_Toc118208517" w:displacedByCustomXml="next"/>
        <w:bookmarkStart w:id="78" w:name="_Toc118208451" w:displacedByCustomXml="next"/>
      </w:sdtContent>
    </w:sdt>
    <w:bookmarkEnd w:id="78" w:displacedByCustomXml="prev"/>
    <w:bookmarkEnd w:id="77" w:displacedByCustomXml="prev"/>
    <w:p w14:paraId="388CB467" w14:textId="77777777" w:rsidR="001E44D8" w:rsidRDefault="001E44D8">
      <w:pPr>
        <w:rPr>
          <w:rFonts w:ascii="Palatino Linotype" w:eastAsiaTheme="majorEastAsia" w:hAnsi="Palatino Linotype" w:cstheme="majorBidi"/>
          <w:bCs/>
          <w:color w:val="410099" w:themeColor="accent1"/>
          <w:sz w:val="32"/>
          <w:szCs w:val="24"/>
        </w:rPr>
      </w:pPr>
      <w:bookmarkStart w:id="79" w:name="_Toc116285553"/>
      <w:bookmarkStart w:id="80" w:name="_Toc116290645"/>
      <w:bookmarkStart w:id="81" w:name="_Toc117242766"/>
      <w:bookmarkStart w:id="82" w:name="_Toc117243036"/>
      <w:r>
        <w:rPr>
          <w:sz w:val="32"/>
          <w:szCs w:val="24"/>
        </w:rPr>
        <w:br w:type="page"/>
      </w:r>
    </w:p>
    <w:p w14:paraId="3BC44E38" w14:textId="261DA988" w:rsidR="0087711D" w:rsidRPr="000C1872" w:rsidRDefault="0087711D" w:rsidP="000C1872">
      <w:pPr>
        <w:spacing w:before="0" w:after="0"/>
        <w:rPr>
          <w:rFonts w:ascii="Palatino Linotype" w:eastAsiaTheme="majorEastAsia" w:hAnsi="Palatino Linotype" w:cstheme="majorBidi"/>
          <w:bCs/>
          <w:color w:val="410099" w:themeColor="accent1"/>
          <w:sz w:val="36"/>
          <w:szCs w:val="28"/>
        </w:rPr>
      </w:pPr>
      <w:r w:rsidRPr="000C1872">
        <w:rPr>
          <w:rFonts w:ascii="Palatino Linotype" w:eastAsiaTheme="majorEastAsia" w:hAnsi="Palatino Linotype" w:cstheme="majorBidi"/>
          <w:bCs/>
          <w:color w:val="410099" w:themeColor="accent1"/>
          <w:sz w:val="36"/>
          <w:szCs w:val="28"/>
        </w:rPr>
        <w:t>Glossary</w:t>
      </w:r>
      <w:bookmarkEnd w:id="79"/>
      <w:bookmarkEnd w:id="80"/>
      <w:bookmarkEnd w:id="81"/>
      <w:bookmarkEnd w:id="82"/>
      <w:bookmarkEnd w:id="76"/>
    </w:p>
    <w:tbl>
      <w:tblPr>
        <w:tblStyle w:val="GridTable1Light"/>
        <w:tblW w:w="9606" w:type="dxa"/>
        <w:tblLook w:val="04A0" w:firstRow="1" w:lastRow="0" w:firstColumn="1" w:lastColumn="0" w:noHBand="0" w:noVBand="1"/>
      </w:tblPr>
      <w:tblGrid>
        <w:gridCol w:w="1594"/>
        <w:gridCol w:w="8012"/>
      </w:tblGrid>
      <w:tr w:rsidR="0087711D" w:rsidRPr="005453FC" w14:paraId="12F41AE9" w14:textId="77777777" w:rsidTr="005453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Pr>
          <w:p w14:paraId="260CF3DF" w14:textId="77777777" w:rsidR="0087711D" w:rsidRPr="005453FC" w:rsidRDefault="0087711D" w:rsidP="009C3AF8">
            <w:pPr>
              <w:rPr>
                <w:rFonts w:cs="Arial"/>
                <w:sz w:val="20"/>
                <w:szCs w:val="20"/>
              </w:rPr>
            </w:pPr>
            <w:r w:rsidRPr="005453FC">
              <w:rPr>
                <w:rFonts w:cs="Arial"/>
                <w:sz w:val="20"/>
                <w:szCs w:val="20"/>
              </w:rPr>
              <w:t>Term</w:t>
            </w:r>
          </w:p>
        </w:tc>
        <w:tc>
          <w:tcPr>
            <w:tcW w:w="8012" w:type="dxa"/>
          </w:tcPr>
          <w:p w14:paraId="59F479DE" w14:textId="77777777" w:rsidR="0087711D" w:rsidRPr="005453FC" w:rsidRDefault="0087711D" w:rsidP="009C3AF8">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5453FC">
              <w:rPr>
                <w:rFonts w:cs="Arial"/>
                <w:sz w:val="20"/>
                <w:szCs w:val="20"/>
              </w:rPr>
              <w:t>Definition</w:t>
            </w:r>
          </w:p>
        </w:tc>
      </w:tr>
      <w:tr w:rsidR="0087711D" w:rsidRPr="005453FC" w14:paraId="16B5491E" w14:textId="77777777" w:rsidTr="005453FC">
        <w:tc>
          <w:tcPr>
            <w:cnfStyle w:val="001000000000" w:firstRow="0" w:lastRow="0" w:firstColumn="1" w:lastColumn="0" w:oddVBand="0" w:evenVBand="0" w:oddHBand="0" w:evenHBand="0" w:firstRowFirstColumn="0" w:firstRowLastColumn="0" w:lastRowFirstColumn="0" w:lastRowLastColumn="0"/>
            <w:tcW w:w="1594" w:type="dxa"/>
          </w:tcPr>
          <w:p w14:paraId="39B90748" w14:textId="77777777" w:rsidR="0087711D" w:rsidRPr="005453FC" w:rsidRDefault="0087711D">
            <w:pPr>
              <w:spacing w:before="120"/>
              <w:rPr>
                <w:rFonts w:cs="Arial"/>
                <w:sz w:val="20"/>
                <w:szCs w:val="20"/>
              </w:rPr>
            </w:pPr>
            <w:r w:rsidRPr="005453FC">
              <w:rPr>
                <w:rFonts w:cs="Arial"/>
                <w:sz w:val="20"/>
                <w:szCs w:val="20"/>
              </w:rPr>
              <w:t>ACCC</w:t>
            </w:r>
          </w:p>
        </w:tc>
        <w:tc>
          <w:tcPr>
            <w:tcW w:w="8012" w:type="dxa"/>
          </w:tcPr>
          <w:p w14:paraId="0A591633" w14:textId="77777777" w:rsidR="0087711D" w:rsidRPr="005453FC" w:rsidRDefault="0087711D">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5453FC">
              <w:rPr>
                <w:rFonts w:cs="Arial"/>
                <w:sz w:val="20"/>
                <w:szCs w:val="20"/>
              </w:rPr>
              <w:t>Australian Competition and Consumer Commission</w:t>
            </w:r>
          </w:p>
        </w:tc>
      </w:tr>
      <w:tr w:rsidR="0087711D" w:rsidRPr="005453FC" w14:paraId="2A75CEBF" w14:textId="77777777" w:rsidTr="005453FC">
        <w:tc>
          <w:tcPr>
            <w:cnfStyle w:val="001000000000" w:firstRow="0" w:lastRow="0" w:firstColumn="1" w:lastColumn="0" w:oddVBand="0" w:evenVBand="0" w:oddHBand="0" w:evenHBand="0" w:firstRowFirstColumn="0" w:firstRowLastColumn="0" w:lastRowFirstColumn="0" w:lastRowLastColumn="0"/>
            <w:tcW w:w="1594" w:type="dxa"/>
          </w:tcPr>
          <w:p w14:paraId="43C2CC47" w14:textId="77777777" w:rsidR="0087711D" w:rsidRPr="005453FC" w:rsidRDefault="0087711D">
            <w:pPr>
              <w:spacing w:before="120"/>
              <w:rPr>
                <w:rFonts w:cs="Arial"/>
                <w:sz w:val="20"/>
                <w:szCs w:val="20"/>
              </w:rPr>
            </w:pPr>
            <w:r w:rsidRPr="005453FC">
              <w:rPr>
                <w:rFonts w:cs="Arial"/>
                <w:sz w:val="20"/>
                <w:szCs w:val="20"/>
              </w:rPr>
              <w:t>ACL</w:t>
            </w:r>
          </w:p>
        </w:tc>
        <w:tc>
          <w:tcPr>
            <w:tcW w:w="8012" w:type="dxa"/>
          </w:tcPr>
          <w:p w14:paraId="2323AB78" w14:textId="77777777" w:rsidR="0087711D" w:rsidRPr="005453FC" w:rsidRDefault="0087711D">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5453FC">
              <w:rPr>
                <w:rFonts w:cs="Arial"/>
                <w:sz w:val="20"/>
                <w:szCs w:val="20"/>
              </w:rPr>
              <w:t xml:space="preserve">Australian Consumer Law, Schedule 2 of the </w:t>
            </w:r>
            <w:r w:rsidRPr="005453FC">
              <w:rPr>
                <w:rFonts w:cs="Arial"/>
                <w:i/>
                <w:sz w:val="20"/>
                <w:szCs w:val="20"/>
              </w:rPr>
              <w:t>Competition and Consumer Act 2010</w:t>
            </w:r>
            <w:r w:rsidRPr="005453FC">
              <w:rPr>
                <w:rFonts w:cs="Arial"/>
                <w:sz w:val="20"/>
                <w:szCs w:val="20"/>
              </w:rPr>
              <w:t xml:space="preserve"> </w:t>
            </w:r>
          </w:p>
        </w:tc>
      </w:tr>
      <w:tr w:rsidR="009F7BE3" w:rsidRPr="005453FC" w14:paraId="2C6D6B8E" w14:textId="77777777" w:rsidTr="005453FC">
        <w:tc>
          <w:tcPr>
            <w:cnfStyle w:val="001000000000" w:firstRow="0" w:lastRow="0" w:firstColumn="1" w:lastColumn="0" w:oddVBand="0" w:evenVBand="0" w:oddHBand="0" w:evenHBand="0" w:firstRowFirstColumn="0" w:firstRowLastColumn="0" w:lastRowFirstColumn="0" w:lastRowLastColumn="0"/>
            <w:tcW w:w="1594" w:type="dxa"/>
          </w:tcPr>
          <w:p w14:paraId="7ED32459" w14:textId="5873D92A" w:rsidR="009F7BE3" w:rsidRPr="005453FC" w:rsidRDefault="003D4B69">
            <w:pPr>
              <w:spacing w:before="120"/>
              <w:rPr>
                <w:rFonts w:cs="Arial"/>
                <w:sz w:val="20"/>
                <w:szCs w:val="20"/>
              </w:rPr>
            </w:pPr>
            <w:r w:rsidRPr="005453FC">
              <w:rPr>
                <w:rFonts w:cs="Arial"/>
                <w:sz w:val="20"/>
                <w:szCs w:val="20"/>
              </w:rPr>
              <w:t>Anchor device</w:t>
            </w:r>
          </w:p>
        </w:tc>
        <w:tc>
          <w:tcPr>
            <w:tcW w:w="8012" w:type="dxa"/>
          </w:tcPr>
          <w:p w14:paraId="0526613F" w14:textId="0A56DAC5" w:rsidR="009F7BE3" w:rsidRPr="005453FC" w:rsidRDefault="003D4B69">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5453FC">
              <w:rPr>
                <w:rFonts w:cs="Arial"/>
                <w:sz w:val="20"/>
                <w:szCs w:val="20"/>
              </w:rPr>
              <w:t>Apparatus to secure furniture to wall or stable surface. May also be called furniture restraint.</w:t>
            </w:r>
          </w:p>
        </w:tc>
      </w:tr>
      <w:tr w:rsidR="000504FA" w:rsidRPr="005453FC" w14:paraId="76A42ED2" w14:textId="77777777" w:rsidTr="005453FC">
        <w:tc>
          <w:tcPr>
            <w:cnfStyle w:val="001000000000" w:firstRow="0" w:lastRow="0" w:firstColumn="1" w:lastColumn="0" w:oddVBand="0" w:evenVBand="0" w:oddHBand="0" w:evenHBand="0" w:firstRowFirstColumn="0" w:firstRowLastColumn="0" w:lastRowFirstColumn="0" w:lastRowLastColumn="0"/>
            <w:tcW w:w="1594" w:type="dxa"/>
          </w:tcPr>
          <w:p w14:paraId="770F6660" w14:textId="3F23F672" w:rsidR="000504FA" w:rsidRPr="005453FC" w:rsidRDefault="000504FA">
            <w:pPr>
              <w:spacing w:before="120"/>
              <w:rPr>
                <w:rFonts w:cs="Arial"/>
                <w:sz w:val="20"/>
                <w:szCs w:val="20"/>
              </w:rPr>
            </w:pPr>
            <w:r w:rsidRPr="005453FC">
              <w:rPr>
                <w:rFonts w:cs="Arial"/>
                <w:sz w:val="20"/>
                <w:szCs w:val="20"/>
              </w:rPr>
              <w:t>AS</w:t>
            </w:r>
            <w:r w:rsidR="00AF42DC" w:rsidRPr="005453FC">
              <w:rPr>
                <w:rFonts w:cs="Arial"/>
                <w:sz w:val="20"/>
                <w:szCs w:val="20"/>
              </w:rPr>
              <w:t>/</w:t>
            </w:r>
            <w:r w:rsidRPr="005453FC">
              <w:rPr>
                <w:rFonts w:cs="Arial"/>
                <w:sz w:val="20"/>
                <w:szCs w:val="20"/>
              </w:rPr>
              <w:t>NZS</w:t>
            </w:r>
          </w:p>
        </w:tc>
        <w:tc>
          <w:tcPr>
            <w:tcW w:w="8012" w:type="dxa"/>
          </w:tcPr>
          <w:p w14:paraId="24D76757" w14:textId="6DFE1818" w:rsidR="000504FA" w:rsidRPr="005453FC" w:rsidRDefault="00881682">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5453FC">
              <w:rPr>
                <w:rFonts w:cs="Arial"/>
                <w:color w:val="202124"/>
                <w:sz w:val="20"/>
                <w:szCs w:val="20"/>
                <w:shd w:val="clear" w:color="auto" w:fill="FFFFFF"/>
              </w:rPr>
              <w:t xml:space="preserve">Denotes </w:t>
            </w:r>
            <w:r w:rsidR="000613A6" w:rsidRPr="005453FC">
              <w:rPr>
                <w:rFonts w:cs="Arial"/>
                <w:color w:val="202124"/>
                <w:sz w:val="20"/>
                <w:szCs w:val="20"/>
                <w:shd w:val="clear" w:color="auto" w:fill="FFFFFF"/>
              </w:rPr>
              <w:t>Australian and Australian/New Zealand Standards</w:t>
            </w:r>
            <w:r w:rsidR="00C24646" w:rsidRPr="005453FC">
              <w:rPr>
                <w:rFonts w:cs="Arial"/>
                <w:color w:val="202124"/>
                <w:sz w:val="20"/>
                <w:szCs w:val="20"/>
                <w:shd w:val="clear" w:color="auto" w:fill="FFFFFF"/>
              </w:rPr>
              <w:t xml:space="preserve"> </w:t>
            </w:r>
          </w:p>
        </w:tc>
      </w:tr>
      <w:tr w:rsidR="000504FA" w:rsidRPr="005453FC" w14:paraId="4C15C8C9" w14:textId="77777777" w:rsidTr="005453FC">
        <w:tc>
          <w:tcPr>
            <w:cnfStyle w:val="001000000000" w:firstRow="0" w:lastRow="0" w:firstColumn="1" w:lastColumn="0" w:oddVBand="0" w:evenVBand="0" w:oddHBand="0" w:evenHBand="0" w:firstRowFirstColumn="0" w:firstRowLastColumn="0" w:lastRowFirstColumn="0" w:lastRowLastColumn="0"/>
            <w:tcW w:w="1594" w:type="dxa"/>
          </w:tcPr>
          <w:p w14:paraId="180F7B97" w14:textId="1C6240A1" w:rsidR="000504FA" w:rsidRPr="005453FC" w:rsidRDefault="000504FA">
            <w:pPr>
              <w:spacing w:before="120"/>
              <w:rPr>
                <w:rFonts w:cs="Arial"/>
                <w:sz w:val="20"/>
                <w:szCs w:val="20"/>
              </w:rPr>
            </w:pPr>
            <w:r w:rsidRPr="005453FC">
              <w:rPr>
                <w:rFonts w:cs="Arial"/>
                <w:sz w:val="20"/>
                <w:szCs w:val="20"/>
              </w:rPr>
              <w:t>ASTM</w:t>
            </w:r>
            <w:r w:rsidR="00AF42DC" w:rsidRPr="005453FC">
              <w:rPr>
                <w:rFonts w:cs="Arial"/>
                <w:sz w:val="20"/>
                <w:szCs w:val="20"/>
              </w:rPr>
              <w:t xml:space="preserve"> International</w:t>
            </w:r>
            <w:r w:rsidR="005E0A6E" w:rsidRPr="005453FC">
              <w:rPr>
                <w:rFonts w:cs="Arial"/>
                <w:sz w:val="20"/>
                <w:szCs w:val="20"/>
              </w:rPr>
              <w:t xml:space="preserve"> (ASTM)</w:t>
            </w:r>
          </w:p>
        </w:tc>
        <w:tc>
          <w:tcPr>
            <w:tcW w:w="8012" w:type="dxa"/>
          </w:tcPr>
          <w:p w14:paraId="25050176" w14:textId="391D6620" w:rsidR="000504FA" w:rsidRPr="005453FC" w:rsidRDefault="005E0A6E">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5453FC">
              <w:rPr>
                <w:rFonts w:cs="Arial"/>
                <w:sz w:val="20"/>
                <w:szCs w:val="20"/>
              </w:rPr>
              <w:t xml:space="preserve">Denotes a technical standard drafted and maintained </w:t>
            </w:r>
            <w:r w:rsidR="00506AEF" w:rsidRPr="005453FC">
              <w:rPr>
                <w:rFonts w:cs="Arial"/>
                <w:sz w:val="20"/>
                <w:szCs w:val="20"/>
              </w:rPr>
              <w:t xml:space="preserve">by </w:t>
            </w:r>
            <w:r w:rsidRPr="005453FC">
              <w:rPr>
                <w:rFonts w:cs="Arial"/>
                <w:sz w:val="20"/>
                <w:szCs w:val="20"/>
              </w:rPr>
              <w:t>ASTM: a</w:t>
            </w:r>
            <w:r w:rsidR="0070589A" w:rsidRPr="005453FC">
              <w:rPr>
                <w:rFonts w:cs="Arial"/>
                <w:sz w:val="20"/>
                <w:szCs w:val="20"/>
              </w:rPr>
              <w:t xml:space="preserve"> north American organisation that develops industry standards </w:t>
            </w:r>
            <w:r w:rsidR="00C24646" w:rsidRPr="005453FC">
              <w:rPr>
                <w:rFonts w:cs="Arial"/>
                <w:sz w:val="20"/>
                <w:szCs w:val="20"/>
              </w:rPr>
              <w:t xml:space="preserve">(formerly, the </w:t>
            </w:r>
            <w:r w:rsidR="000613A6" w:rsidRPr="005453FC">
              <w:rPr>
                <w:rFonts w:cs="Arial"/>
                <w:sz w:val="20"/>
                <w:szCs w:val="20"/>
              </w:rPr>
              <w:t>American Society for Testing and Materials</w:t>
            </w:r>
            <w:r w:rsidR="00C24646" w:rsidRPr="005453FC">
              <w:rPr>
                <w:rFonts w:cs="Arial"/>
                <w:sz w:val="20"/>
                <w:szCs w:val="20"/>
              </w:rPr>
              <w:t>)</w:t>
            </w:r>
            <w:r w:rsidRPr="005453FC">
              <w:rPr>
                <w:rFonts w:cs="Arial"/>
                <w:sz w:val="20"/>
                <w:szCs w:val="20"/>
              </w:rPr>
              <w:t xml:space="preserve">. </w:t>
            </w:r>
          </w:p>
        </w:tc>
      </w:tr>
      <w:tr w:rsidR="0087711D" w:rsidRPr="005453FC" w14:paraId="01FD23C8" w14:textId="77777777" w:rsidTr="005453FC">
        <w:tc>
          <w:tcPr>
            <w:cnfStyle w:val="001000000000" w:firstRow="0" w:lastRow="0" w:firstColumn="1" w:lastColumn="0" w:oddVBand="0" w:evenVBand="0" w:oddHBand="0" w:evenHBand="0" w:firstRowFirstColumn="0" w:firstRowLastColumn="0" w:lastRowFirstColumn="0" w:lastRowLastColumn="0"/>
            <w:tcW w:w="1594" w:type="dxa"/>
          </w:tcPr>
          <w:p w14:paraId="0489390D" w14:textId="77777777" w:rsidR="0087711D" w:rsidRPr="005453FC" w:rsidRDefault="0087711D">
            <w:pPr>
              <w:spacing w:before="120"/>
              <w:rPr>
                <w:rFonts w:cs="Arial"/>
                <w:sz w:val="20"/>
                <w:szCs w:val="20"/>
              </w:rPr>
            </w:pPr>
            <w:r w:rsidRPr="005453FC">
              <w:rPr>
                <w:rFonts w:cs="Arial"/>
                <w:sz w:val="20"/>
                <w:szCs w:val="20"/>
              </w:rPr>
              <w:t>CCA</w:t>
            </w:r>
          </w:p>
        </w:tc>
        <w:tc>
          <w:tcPr>
            <w:tcW w:w="8012" w:type="dxa"/>
          </w:tcPr>
          <w:p w14:paraId="1F5E5C06" w14:textId="77777777" w:rsidR="0087711D" w:rsidRPr="005453FC" w:rsidRDefault="0087711D">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5453FC">
              <w:rPr>
                <w:rFonts w:cs="Arial"/>
                <w:i/>
                <w:sz w:val="20"/>
                <w:szCs w:val="20"/>
              </w:rPr>
              <w:t>Competition and Consumer Act 2010</w:t>
            </w:r>
            <w:r w:rsidRPr="005453FC">
              <w:rPr>
                <w:rFonts w:cs="Arial"/>
                <w:sz w:val="20"/>
                <w:szCs w:val="20"/>
              </w:rPr>
              <w:t xml:space="preserve"> (Cth)</w:t>
            </w:r>
          </w:p>
        </w:tc>
      </w:tr>
      <w:tr w:rsidR="0087711D" w:rsidRPr="005453FC" w14:paraId="43D7A066" w14:textId="77777777" w:rsidTr="005453FC">
        <w:tc>
          <w:tcPr>
            <w:cnfStyle w:val="001000000000" w:firstRow="0" w:lastRow="0" w:firstColumn="1" w:lastColumn="0" w:oddVBand="0" w:evenVBand="0" w:oddHBand="0" w:evenHBand="0" w:firstRowFirstColumn="0" w:firstRowLastColumn="0" w:lastRowFirstColumn="0" w:lastRowLastColumn="0"/>
            <w:tcW w:w="1594" w:type="dxa"/>
          </w:tcPr>
          <w:p w14:paraId="67525BB6" w14:textId="77777777" w:rsidR="0087711D" w:rsidRPr="005453FC" w:rsidRDefault="0087711D">
            <w:pPr>
              <w:spacing w:before="120"/>
              <w:rPr>
                <w:rFonts w:cs="Arial"/>
                <w:sz w:val="20"/>
                <w:szCs w:val="20"/>
              </w:rPr>
            </w:pPr>
            <w:r w:rsidRPr="005453FC">
              <w:rPr>
                <w:rFonts w:cs="Arial"/>
                <w:sz w:val="20"/>
                <w:szCs w:val="20"/>
              </w:rPr>
              <w:t>CHOICE</w:t>
            </w:r>
          </w:p>
        </w:tc>
        <w:tc>
          <w:tcPr>
            <w:tcW w:w="8012" w:type="dxa"/>
          </w:tcPr>
          <w:p w14:paraId="5D954DD4" w14:textId="19BC4A68" w:rsidR="0087711D" w:rsidRPr="005453FC" w:rsidRDefault="0087711D">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5453FC">
              <w:rPr>
                <w:rFonts w:cs="Arial"/>
                <w:sz w:val="20"/>
                <w:szCs w:val="20"/>
              </w:rPr>
              <w:t xml:space="preserve">An </w:t>
            </w:r>
            <w:r w:rsidR="000C4B5F" w:rsidRPr="005453FC">
              <w:rPr>
                <w:rFonts w:cs="Arial"/>
                <w:sz w:val="20"/>
                <w:szCs w:val="20"/>
              </w:rPr>
              <w:t xml:space="preserve">Australian </w:t>
            </w:r>
            <w:r w:rsidRPr="005453FC">
              <w:rPr>
                <w:rFonts w:cs="Arial"/>
                <w:sz w:val="20"/>
                <w:szCs w:val="20"/>
              </w:rPr>
              <w:t xml:space="preserve">independent member-funded consumer advocacy group </w:t>
            </w:r>
          </w:p>
        </w:tc>
      </w:tr>
      <w:tr w:rsidR="0087711D" w:rsidRPr="005453FC" w14:paraId="7D8301FD" w14:textId="77777777" w:rsidTr="005453FC">
        <w:tc>
          <w:tcPr>
            <w:cnfStyle w:val="001000000000" w:firstRow="0" w:lastRow="0" w:firstColumn="1" w:lastColumn="0" w:oddVBand="0" w:evenVBand="0" w:oddHBand="0" w:evenHBand="0" w:firstRowFirstColumn="0" w:firstRowLastColumn="0" w:lastRowFirstColumn="0" w:lastRowLastColumn="0"/>
            <w:tcW w:w="1594" w:type="dxa"/>
          </w:tcPr>
          <w:p w14:paraId="42312F7D" w14:textId="77777777" w:rsidR="0087711D" w:rsidRPr="005453FC" w:rsidRDefault="0087711D">
            <w:pPr>
              <w:spacing w:before="120"/>
              <w:rPr>
                <w:rFonts w:cs="Arial"/>
                <w:sz w:val="20"/>
                <w:szCs w:val="20"/>
              </w:rPr>
            </w:pPr>
            <w:r w:rsidRPr="005453FC">
              <w:rPr>
                <w:rFonts w:cs="Arial"/>
                <w:sz w:val="20"/>
                <w:szCs w:val="20"/>
              </w:rPr>
              <w:t>ED</w:t>
            </w:r>
          </w:p>
        </w:tc>
        <w:tc>
          <w:tcPr>
            <w:tcW w:w="8012" w:type="dxa"/>
          </w:tcPr>
          <w:p w14:paraId="73F79E5B" w14:textId="77777777" w:rsidR="0087711D" w:rsidRPr="005453FC" w:rsidRDefault="0087711D">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5453FC">
              <w:rPr>
                <w:rFonts w:cs="Arial"/>
                <w:sz w:val="20"/>
                <w:szCs w:val="20"/>
              </w:rPr>
              <w:t>Emergency department</w:t>
            </w:r>
          </w:p>
        </w:tc>
      </w:tr>
      <w:tr w:rsidR="000504FA" w:rsidRPr="005453FC" w14:paraId="24748E53" w14:textId="77777777" w:rsidTr="005453FC">
        <w:tc>
          <w:tcPr>
            <w:cnfStyle w:val="001000000000" w:firstRow="0" w:lastRow="0" w:firstColumn="1" w:lastColumn="0" w:oddVBand="0" w:evenVBand="0" w:oddHBand="0" w:evenHBand="0" w:firstRowFirstColumn="0" w:firstRowLastColumn="0" w:lastRowFirstColumn="0" w:lastRowLastColumn="0"/>
            <w:tcW w:w="1594" w:type="dxa"/>
          </w:tcPr>
          <w:p w14:paraId="59A4EA19" w14:textId="5005624D" w:rsidR="000504FA" w:rsidRPr="005453FC" w:rsidRDefault="000504FA">
            <w:pPr>
              <w:spacing w:before="120"/>
              <w:rPr>
                <w:rFonts w:cs="Arial"/>
                <w:sz w:val="20"/>
                <w:szCs w:val="20"/>
              </w:rPr>
            </w:pPr>
            <w:r w:rsidRPr="005453FC">
              <w:rPr>
                <w:rFonts w:cs="Arial"/>
                <w:sz w:val="20"/>
                <w:szCs w:val="20"/>
              </w:rPr>
              <w:t>EN</w:t>
            </w:r>
          </w:p>
        </w:tc>
        <w:tc>
          <w:tcPr>
            <w:tcW w:w="8012" w:type="dxa"/>
          </w:tcPr>
          <w:p w14:paraId="26B5B885" w14:textId="31E082A5" w:rsidR="000504FA" w:rsidRPr="005453FC" w:rsidRDefault="00881682">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5453FC">
              <w:rPr>
                <w:rFonts w:cs="Arial"/>
                <w:sz w:val="20"/>
                <w:szCs w:val="20"/>
              </w:rPr>
              <w:t>Denotes a t</w:t>
            </w:r>
            <w:r w:rsidR="001B24F5" w:rsidRPr="005453FC">
              <w:rPr>
                <w:rFonts w:cs="Arial"/>
                <w:sz w:val="20"/>
                <w:szCs w:val="20"/>
              </w:rPr>
              <w:t>echnical standard drafted and maintained by the European Committee for Standardisation</w:t>
            </w:r>
          </w:p>
        </w:tc>
      </w:tr>
      <w:tr w:rsidR="003D4B69" w:rsidRPr="005453FC" w14:paraId="30643A9A" w14:textId="77777777" w:rsidTr="005453FC">
        <w:tc>
          <w:tcPr>
            <w:cnfStyle w:val="001000000000" w:firstRow="0" w:lastRow="0" w:firstColumn="1" w:lastColumn="0" w:oddVBand="0" w:evenVBand="0" w:oddHBand="0" w:evenHBand="0" w:firstRowFirstColumn="0" w:firstRowLastColumn="0" w:lastRowFirstColumn="0" w:lastRowLastColumn="0"/>
            <w:tcW w:w="1594" w:type="dxa"/>
          </w:tcPr>
          <w:p w14:paraId="4C02DF4A" w14:textId="6A81411D" w:rsidR="003D4B69" w:rsidRPr="005453FC" w:rsidRDefault="003D4B69" w:rsidP="003D4B69">
            <w:pPr>
              <w:spacing w:before="120"/>
              <w:rPr>
                <w:rFonts w:cs="Arial"/>
                <w:sz w:val="20"/>
                <w:szCs w:val="20"/>
              </w:rPr>
            </w:pPr>
            <w:r w:rsidRPr="005453FC">
              <w:rPr>
                <w:rFonts w:cs="Arial"/>
                <w:sz w:val="20"/>
                <w:szCs w:val="20"/>
              </w:rPr>
              <w:t>Fixings</w:t>
            </w:r>
          </w:p>
        </w:tc>
        <w:tc>
          <w:tcPr>
            <w:tcW w:w="8012" w:type="dxa"/>
          </w:tcPr>
          <w:p w14:paraId="253D0136" w14:textId="4E24A62C" w:rsidR="003D4B69" w:rsidRPr="005453FC" w:rsidRDefault="003D4B69" w:rsidP="003D4B69">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5453FC">
              <w:rPr>
                <w:rFonts w:cs="Arial"/>
                <w:sz w:val="20"/>
                <w:szCs w:val="20"/>
              </w:rPr>
              <w:t xml:space="preserve">Screws, </w:t>
            </w:r>
            <w:r w:rsidR="004F12A5" w:rsidRPr="005453FC">
              <w:rPr>
                <w:rFonts w:cs="Arial"/>
                <w:sz w:val="20"/>
                <w:szCs w:val="20"/>
              </w:rPr>
              <w:t>bolts,</w:t>
            </w:r>
            <w:r w:rsidRPr="005453FC">
              <w:rPr>
                <w:rFonts w:cs="Arial"/>
                <w:sz w:val="20"/>
                <w:szCs w:val="20"/>
              </w:rPr>
              <w:t xml:space="preserve"> or inserts for different surface types (timber / masonry).</w:t>
            </w:r>
          </w:p>
        </w:tc>
      </w:tr>
      <w:tr w:rsidR="003D4B69" w:rsidRPr="005453FC" w14:paraId="61899095" w14:textId="77777777" w:rsidTr="005453FC">
        <w:tc>
          <w:tcPr>
            <w:cnfStyle w:val="001000000000" w:firstRow="0" w:lastRow="0" w:firstColumn="1" w:lastColumn="0" w:oddVBand="0" w:evenVBand="0" w:oddHBand="0" w:evenHBand="0" w:firstRowFirstColumn="0" w:firstRowLastColumn="0" w:lastRowFirstColumn="0" w:lastRowLastColumn="0"/>
            <w:tcW w:w="1594" w:type="dxa"/>
          </w:tcPr>
          <w:p w14:paraId="2F21980F" w14:textId="070A553A" w:rsidR="003D4B69" w:rsidRPr="005453FC" w:rsidRDefault="003D4B69" w:rsidP="003D4B69">
            <w:pPr>
              <w:spacing w:before="120"/>
              <w:rPr>
                <w:rFonts w:cs="Arial"/>
                <w:sz w:val="20"/>
                <w:szCs w:val="20"/>
              </w:rPr>
            </w:pPr>
            <w:r w:rsidRPr="005453FC">
              <w:rPr>
                <w:rFonts w:cs="Arial"/>
                <w:sz w:val="20"/>
                <w:szCs w:val="20"/>
              </w:rPr>
              <w:t>Freestanding storage furniture</w:t>
            </w:r>
          </w:p>
        </w:tc>
        <w:tc>
          <w:tcPr>
            <w:tcW w:w="8012" w:type="dxa"/>
          </w:tcPr>
          <w:p w14:paraId="36D341A1" w14:textId="33B841F5" w:rsidR="003D4B69" w:rsidRPr="005453FC" w:rsidRDefault="003D4B69" w:rsidP="003D4B69">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5453FC">
              <w:rPr>
                <w:rFonts w:cs="Arial"/>
                <w:sz w:val="20"/>
                <w:szCs w:val="20"/>
              </w:rPr>
              <w:t xml:space="preserve">Furniture items in scope of the proposed policy options including chests of drawers, bookcases, wardrobes, </w:t>
            </w:r>
            <w:r w:rsidR="004F12A5" w:rsidRPr="005453FC">
              <w:rPr>
                <w:rFonts w:cs="Arial"/>
                <w:sz w:val="20"/>
                <w:szCs w:val="20"/>
              </w:rPr>
              <w:t>cabinets,</w:t>
            </w:r>
            <w:r w:rsidRPr="005453FC">
              <w:rPr>
                <w:rFonts w:cs="Arial"/>
                <w:sz w:val="20"/>
                <w:szCs w:val="20"/>
              </w:rPr>
              <w:t xml:space="preserve"> and entertainment units. Also referred to as ‘storage furniture’.</w:t>
            </w:r>
          </w:p>
        </w:tc>
      </w:tr>
      <w:tr w:rsidR="003D4B69" w:rsidRPr="005453FC" w14:paraId="0BD711E5" w14:textId="77777777" w:rsidTr="005453FC">
        <w:tc>
          <w:tcPr>
            <w:cnfStyle w:val="001000000000" w:firstRow="0" w:lastRow="0" w:firstColumn="1" w:lastColumn="0" w:oddVBand="0" w:evenVBand="0" w:oddHBand="0" w:evenHBand="0" w:firstRowFirstColumn="0" w:firstRowLastColumn="0" w:lastRowFirstColumn="0" w:lastRowLastColumn="0"/>
            <w:tcW w:w="1594" w:type="dxa"/>
          </w:tcPr>
          <w:p w14:paraId="25F04DB5" w14:textId="77777777" w:rsidR="003D4B69" w:rsidRPr="005453FC" w:rsidRDefault="003D4B69" w:rsidP="003D4B69">
            <w:pPr>
              <w:spacing w:before="120"/>
              <w:rPr>
                <w:rFonts w:cs="Arial"/>
                <w:sz w:val="20"/>
                <w:szCs w:val="20"/>
              </w:rPr>
            </w:pPr>
            <w:r w:rsidRPr="005453FC">
              <w:rPr>
                <w:rFonts w:cs="Arial"/>
                <w:sz w:val="20"/>
                <w:szCs w:val="20"/>
              </w:rPr>
              <w:t>ISO</w:t>
            </w:r>
          </w:p>
        </w:tc>
        <w:tc>
          <w:tcPr>
            <w:tcW w:w="8012" w:type="dxa"/>
          </w:tcPr>
          <w:p w14:paraId="0EE1E9E8" w14:textId="178A7DFB" w:rsidR="003D4B69" w:rsidRPr="005453FC" w:rsidRDefault="003D4B69" w:rsidP="003D4B69">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5453FC">
              <w:rPr>
                <w:rFonts w:cs="Arial"/>
                <w:sz w:val="20"/>
                <w:szCs w:val="20"/>
              </w:rPr>
              <w:t>Denotes a technical standard drafted and maintained by the International Organization for Standardization</w:t>
            </w:r>
          </w:p>
        </w:tc>
      </w:tr>
      <w:tr w:rsidR="003D4B69" w:rsidRPr="005453FC" w14:paraId="0D84EDFE" w14:textId="77777777" w:rsidTr="005453FC">
        <w:tc>
          <w:tcPr>
            <w:cnfStyle w:val="001000000000" w:firstRow="0" w:lastRow="0" w:firstColumn="1" w:lastColumn="0" w:oddVBand="0" w:evenVBand="0" w:oddHBand="0" w:evenHBand="0" w:firstRowFirstColumn="0" w:firstRowLastColumn="0" w:lastRowFirstColumn="0" w:lastRowLastColumn="0"/>
            <w:tcW w:w="1594" w:type="dxa"/>
          </w:tcPr>
          <w:p w14:paraId="54D642E6" w14:textId="77777777" w:rsidR="003D4B69" w:rsidRPr="005453FC" w:rsidRDefault="003D4B69" w:rsidP="003D4B69">
            <w:pPr>
              <w:spacing w:before="120"/>
              <w:rPr>
                <w:rFonts w:cs="Arial"/>
                <w:sz w:val="20"/>
                <w:szCs w:val="20"/>
              </w:rPr>
            </w:pPr>
            <w:r w:rsidRPr="005453FC">
              <w:rPr>
                <w:rFonts w:cs="Arial"/>
                <w:sz w:val="20"/>
                <w:szCs w:val="20"/>
              </w:rPr>
              <w:t>National Strategy</w:t>
            </w:r>
          </w:p>
        </w:tc>
        <w:tc>
          <w:tcPr>
            <w:tcW w:w="8012" w:type="dxa"/>
          </w:tcPr>
          <w:p w14:paraId="3AD1610C" w14:textId="77777777" w:rsidR="003D4B69" w:rsidRPr="005453FC" w:rsidRDefault="003D4B69" w:rsidP="003D4B69">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5453FC">
              <w:rPr>
                <w:rFonts w:cs="Arial"/>
                <w:sz w:val="20"/>
                <w:szCs w:val="20"/>
              </w:rPr>
              <w:t>National Toppling Furniture and Television Safety Strategy</w:t>
            </w:r>
          </w:p>
        </w:tc>
      </w:tr>
      <w:tr w:rsidR="003D4B69" w:rsidRPr="005453FC" w14:paraId="050D39B5" w14:textId="77777777" w:rsidTr="005453FC">
        <w:tc>
          <w:tcPr>
            <w:cnfStyle w:val="001000000000" w:firstRow="0" w:lastRow="0" w:firstColumn="1" w:lastColumn="0" w:oddVBand="0" w:evenVBand="0" w:oddHBand="0" w:evenHBand="0" w:firstRowFirstColumn="0" w:firstRowLastColumn="0" w:lastRowFirstColumn="0" w:lastRowLastColumn="0"/>
            <w:tcW w:w="1594" w:type="dxa"/>
          </w:tcPr>
          <w:p w14:paraId="7ED056FA" w14:textId="78B033DA" w:rsidR="003D4B69" w:rsidRPr="005453FC" w:rsidRDefault="003D4B69" w:rsidP="003D4B69">
            <w:pPr>
              <w:spacing w:before="120"/>
              <w:rPr>
                <w:rFonts w:cs="Arial"/>
                <w:sz w:val="20"/>
                <w:szCs w:val="20"/>
              </w:rPr>
            </w:pPr>
            <w:r w:rsidRPr="005453FC">
              <w:rPr>
                <w:rFonts w:cs="Arial"/>
                <w:sz w:val="20"/>
                <w:szCs w:val="20"/>
              </w:rPr>
              <w:t>NCIS</w:t>
            </w:r>
          </w:p>
        </w:tc>
        <w:tc>
          <w:tcPr>
            <w:tcW w:w="8012" w:type="dxa"/>
          </w:tcPr>
          <w:p w14:paraId="19A5B493" w14:textId="0D00BB47" w:rsidR="003D4B69" w:rsidRPr="005453FC" w:rsidRDefault="003D4B69" w:rsidP="003D4B69">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5453FC">
              <w:rPr>
                <w:rFonts w:cs="Arial"/>
                <w:sz w:val="20"/>
                <w:szCs w:val="20"/>
              </w:rPr>
              <w:t xml:space="preserve">National Coronial Information System </w:t>
            </w:r>
          </w:p>
        </w:tc>
      </w:tr>
      <w:tr w:rsidR="003D4B69" w:rsidRPr="005453FC" w14:paraId="6D3BA0CB" w14:textId="77777777" w:rsidTr="005453FC">
        <w:tc>
          <w:tcPr>
            <w:cnfStyle w:val="001000000000" w:firstRow="0" w:lastRow="0" w:firstColumn="1" w:lastColumn="0" w:oddVBand="0" w:evenVBand="0" w:oddHBand="0" w:evenHBand="0" w:firstRowFirstColumn="0" w:firstRowLastColumn="0" w:lastRowFirstColumn="0" w:lastRowLastColumn="0"/>
            <w:tcW w:w="1594" w:type="dxa"/>
          </w:tcPr>
          <w:p w14:paraId="3FAADA94" w14:textId="77777777" w:rsidR="003D4B69" w:rsidRPr="005453FC" w:rsidRDefault="003D4B69" w:rsidP="003D4B69">
            <w:pPr>
              <w:spacing w:before="120"/>
              <w:rPr>
                <w:rFonts w:cs="Arial"/>
                <w:sz w:val="20"/>
                <w:szCs w:val="20"/>
              </w:rPr>
            </w:pPr>
            <w:r w:rsidRPr="005453FC">
              <w:rPr>
                <w:rFonts w:cs="Arial"/>
                <w:sz w:val="20"/>
                <w:szCs w:val="20"/>
              </w:rPr>
              <w:t>NRA</w:t>
            </w:r>
          </w:p>
        </w:tc>
        <w:tc>
          <w:tcPr>
            <w:tcW w:w="8012" w:type="dxa"/>
          </w:tcPr>
          <w:p w14:paraId="1890272D" w14:textId="77777777" w:rsidR="003D4B69" w:rsidRPr="005453FC" w:rsidRDefault="003D4B69" w:rsidP="003D4B69">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5453FC">
              <w:rPr>
                <w:rFonts w:cs="Arial"/>
                <w:sz w:val="20"/>
                <w:szCs w:val="20"/>
              </w:rPr>
              <w:t>National Retail Association</w:t>
            </w:r>
          </w:p>
        </w:tc>
      </w:tr>
      <w:tr w:rsidR="003D4B69" w:rsidRPr="005453FC" w14:paraId="5F949E56" w14:textId="77777777" w:rsidTr="005453FC">
        <w:tc>
          <w:tcPr>
            <w:cnfStyle w:val="001000000000" w:firstRow="0" w:lastRow="0" w:firstColumn="1" w:lastColumn="0" w:oddVBand="0" w:evenVBand="0" w:oddHBand="0" w:evenHBand="0" w:firstRowFirstColumn="0" w:firstRowLastColumn="0" w:lastRowFirstColumn="0" w:lastRowLastColumn="0"/>
            <w:tcW w:w="1594" w:type="dxa"/>
          </w:tcPr>
          <w:p w14:paraId="23947579" w14:textId="77777777" w:rsidR="003D4B69" w:rsidRPr="005453FC" w:rsidRDefault="003D4B69" w:rsidP="003D4B69">
            <w:pPr>
              <w:spacing w:before="120"/>
              <w:rPr>
                <w:rFonts w:cs="Arial"/>
                <w:sz w:val="20"/>
                <w:szCs w:val="20"/>
              </w:rPr>
            </w:pPr>
            <w:r w:rsidRPr="005453FC">
              <w:rPr>
                <w:rFonts w:cs="Arial"/>
                <w:sz w:val="20"/>
                <w:szCs w:val="20"/>
              </w:rPr>
              <w:t>NRA Guide</w:t>
            </w:r>
          </w:p>
        </w:tc>
        <w:tc>
          <w:tcPr>
            <w:tcW w:w="8012" w:type="dxa"/>
          </w:tcPr>
          <w:p w14:paraId="116B61D3" w14:textId="6A33F340" w:rsidR="003D4B69" w:rsidRPr="005453FC" w:rsidRDefault="003D4B69" w:rsidP="003D4B69">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5453FC">
              <w:rPr>
                <w:rFonts w:cs="Arial"/>
                <w:sz w:val="20"/>
                <w:szCs w:val="20"/>
              </w:rPr>
              <w:t xml:space="preserve">NRA Best practice guide for furniture and television tip-over prevention </w:t>
            </w:r>
          </w:p>
        </w:tc>
      </w:tr>
      <w:tr w:rsidR="003D4B69" w:rsidRPr="005453FC" w14:paraId="659C6867" w14:textId="77777777" w:rsidTr="005453FC">
        <w:tc>
          <w:tcPr>
            <w:cnfStyle w:val="001000000000" w:firstRow="0" w:lastRow="0" w:firstColumn="1" w:lastColumn="0" w:oddVBand="0" w:evenVBand="0" w:oddHBand="0" w:evenHBand="0" w:firstRowFirstColumn="0" w:firstRowLastColumn="0" w:lastRowFirstColumn="0" w:lastRowLastColumn="0"/>
            <w:tcW w:w="1594" w:type="dxa"/>
          </w:tcPr>
          <w:p w14:paraId="638B3C68" w14:textId="77777777" w:rsidR="003D4B69" w:rsidRPr="005453FC" w:rsidRDefault="003D4B69" w:rsidP="003D4B69">
            <w:pPr>
              <w:spacing w:before="120"/>
              <w:rPr>
                <w:rFonts w:cs="Arial"/>
                <w:sz w:val="20"/>
                <w:szCs w:val="20"/>
              </w:rPr>
            </w:pPr>
            <w:r w:rsidRPr="005453FC">
              <w:rPr>
                <w:rFonts w:cs="Arial"/>
                <w:sz w:val="20"/>
                <w:szCs w:val="20"/>
              </w:rPr>
              <w:t>OECD</w:t>
            </w:r>
          </w:p>
        </w:tc>
        <w:tc>
          <w:tcPr>
            <w:tcW w:w="8012" w:type="dxa"/>
          </w:tcPr>
          <w:p w14:paraId="6F994296" w14:textId="77777777" w:rsidR="003D4B69" w:rsidRPr="005453FC" w:rsidRDefault="003D4B69" w:rsidP="003D4B69">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5453FC">
              <w:rPr>
                <w:rFonts w:cs="Arial"/>
                <w:sz w:val="20"/>
                <w:szCs w:val="20"/>
              </w:rPr>
              <w:t>Organisation for Economic Co-operation and Development</w:t>
            </w:r>
          </w:p>
        </w:tc>
      </w:tr>
      <w:tr w:rsidR="003D4B69" w:rsidRPr="005453FC" w14:paraId="657F9BB6" w14:textId="77777777" w:rsidTr="005453FC">
        <w:tc>
          <w:tcPr>
            <w:cnfStyle w:val="001000000000" w:firstRow="0" w:lastRow="0" w:firstColumn="1" w:lastColumn="0" w:oddVBand="0" w:evenVBand="0" w:oddHBand="0" w:evenHBand="0" w:firstRowFirstColumn="0" w:firstRowLastColumn="0" w:lastRowFirstColumn="0" w:lastRowLastColumn="0"/>
            <w:tcW w:w="1594" w:type="dxa"/>
          </w:tcPr>
          <w:p w14:paraId="3C5E379F" w14:textId="77777777" w:rsidR="003D4B69" w:rsidRPr="005453FC" w:rsidRDefault="003D4B69" w:rsidP="003D4B69">
            <w:pPr>
              <w:spacing w:before="120"/>
              <w:rPr>
                <w:rFonts w:cs="Arial"/>
                <w:sz w:val="20"/>
                <w:szCs w:val="20"/>
              </w:rPr>
            </w:pPr>
            <w:r w:rsidRPr="005453FC">
              <w:rPr>
                <w:rFonts w:cs="Arial"/>
                <w:sz w:val="20"/>
                <w:szCs w:val="20"/>
              </w:rPr>
              <w:t>QISU</w:t>
            </w:r>
          </w:p>
        </w:tc>
        <w:tc>
          <w:tcPr>
            <w:tcW w:w="8012" w:type="dxa"/>
          </w:tcPr>
          <w:p w14:paraId="0588A070" w14:textId="77777777" w:rsidR="003D4B69" w:rsidRPr="005453FC" w:rsidRDefault="003D4B69" w:rsidP="003D4B69">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5453FC">
              <w:rPr>
                <w:rFonts w:cs="Arial"/>
                <w:sz w:val="20"/>
                <w:szCs w:val="20"/>
              </w:rPr>
              <w:t>Queensland Injury Surveillance Unit</w:t>
            </w:r>
          </w:p>
        </w:tc>
      </w:tr>
      <w:tr w:rsidR="003D4B69" w:rsidRPr="005453FC" w14:paraId="1E803748" w14:textId="24605401" w:rsidTr="005453FC">
        <w:tc>
          <w:tcPr>
            <w:cnfStyle w:val="001000000000" w:firstRow="0" w:lastRow="0" w:firstColumn="1" w:lastColumn="0" w:oddVBand="0" w:evenVBand="0" w:oddHBand="0" w:evenHBand="0" w:firstRowFirstColumn="0" w:firstRowLastColumn="0" w:lastRowFirstColumn="0" w:lastRowLastColumn="0"/>
            <w:tcW w:w="1594" w:type="dxa"/>
          </w:tcPr>
          <w:p w14:paraId="6B8589B4" w14:textId="34499046" w:rsidR="003D4B69" w:rsidRPr="005453FC" w:rsidRDefault="003D4B69" w:rsidP="003D4B69">
            <w:pPr>
              <w:spacing w:before="120"/>
              <w:rPr>
                <w:rFonts w:cs="Arial"/>
                <w:sz w:val="20"/>
                <w:szCs w:val="20"/>
              </w:rPr>
            </w:pPr>
            <w:r w:rsidRPr="005453FC">
              <w:rPr>
                <w:rFonts w:cs="Arial"/>
                <w:sz w:val="20"/>
                <w:szCs w:val="20"/>
              </w:rPr>
              <w:t>STURDY Act</w:t>
            </w:r>
          </w:p>
        </w:tc>
        <w:tc>
          <w:tcPr>
            <w:tcW w:w="8012" w:type="dxa"/>
          </w:tcPr>
          <w:p w14:paraId="7D00B081" w14:textId="2463D147" w:rsidR="003D4B69" w:rsidRPr="005453FC" w:rsidRDefault="003D4B69" w:rsidP="003D4B69">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5453FC">
              <w:rPr>
                <w:rFonts w:cs="Arial"/>
                <w:sz w:val="20"/>
                <w:szCs w:val="20"/>
              </w:rPr>
              <w:t>Stop Tip-Overs of Unstable, Risky Dressers on Youth Act</w:t>
            </w:r>
          </w:p>
        </w:tc>
      </w:tr>
      <w:tr w:rsidR="003D4B69" w:rsidRPr="005453FC" w14:paraId="6D13A183" w14:textId="77777777" w:rsidTr="005453FC">
        <w:tc>
          <w:tcPr>
            <w:cnfStyle w:val="001000000000" w:firstRow="0" w:lastRow="0" w:firstColumn="1" w:lastColumn="0" w:oddVBand="0" w:evenVBand="0" w:oddHBand="0" w:evenHBand="0" w:firstRowFirstColumn="0" w:firstRowLastColumn="0" w:lastRowFirstColumn="0" w:lastRowLastColumn="0"/>
            <w:tcW w:w="1594" w:type="dxa"/>
          </w:tcPr>
          <w:p w14:paraId="37D586B8" w14:textId="77777777" w:rsidR="003D4B69" w:rsidRPr="005453FC" w:rsidRDefault="003D4B69" w:rsidP="003D4B69">
            <w:pPr>
              <w:spacing w:before="120"/>
              <w:rPr>
                <w:rFonts w:cs="Arial"/>
                <w:sz w:val="20"/>
                <w:szCs w:val="20"/>
              </w:rPr>
            </w:pPr>
            <w:r w:rsidRPr="005453FC">
              <w:rPr>
                <w:rFonts w:cs="Arial"/>
                <w:sz w:val="20"/>
                <w:szCs w:val="20"/>
              </w:rPr>
              <w:t>VISU</w:t>
            </w:r>
          </w:p>
        </w:tc>
        <w:tc>
          <w:tcPr>
            <w:tcW w:w="8012" w:type="dxa"/>
          </w:tcPr>
          <w:p w14:paraId="159E1837" w14:textId="77777777" w:rsidR="003D4B69" w:rsidRPr="005453FC" w:rsidRDefault="003D4B69" w:rsidP="003D4B69">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5453FC">
              <w:rPr>
                <w:rFonts w:cs="Arial"/>
                <w:sz w:val="20"/>
                <w:szCs w:val="20"/>
              </w:rPr>
              <w:t>Victorian Injury Surveillance Unit</w:t>
            </w:r>
          </w:p>
        </w:tc>
      </w:tr>
      <w:tr w:rsidR="003D4B69" w:rsidRPr="005453FC" w14:paraId="17F81C5C" w14:textId="77777777" w:rsidTr="005453FC">
        <w:tc>
          <w:tcPr>
            <w:cnfStyle w:val="001000000000" w:firstRow="0" w:lastRow="0" w:firstColumn="1" w:lastColumn="0" w:oddVBand="0" w:evenVBand="0" w:oddHBand="0" w:evenHBand="0" w:firstRowFirstColumn="0" w:firstRowLastColumn="0" w:lastRowFirstColumn="0" w:lastRowLastColumn="0"/>
            <w:tcW w:w="1594" w:type="dxa"/>
          </w:tcPr>
          <w:p w14:paraId="00584C05" w14:textId="59F48FCD" w:rsidR="003D4B69" w:rsidRPr="005453FC" w:rsidRDefault="003D4B69" w:rsidP="003D4B69">
            <w:pPr>
              <w:spacing w:before="120"/>
              <w:rPr>
                <w:rFonts w:cs="Arial"/>
                <w:sz w:val="20"/>
                <w:szCs w:val="20"/>
              </w:rPr>
            </w:pPr>
            <w:r w:rsidRPr="005453FC">
              <w:rPr>
                <w:rFonts w:cs="Arial"/>
                <w:sz w:val="20"/>
                <w:szCs w:val="20"/>
              </w:rPr>
              <w:t>VSL</w:t>
            </w:r>
          </w:p>
        </w:tc>
        <w:tc>
          <w:tcPr>
            <w:tcW w:w="8012" w:type="dxa"/>
          </w:tcPr>
          <w:p w14:paraId="56691283" w14:textId="5325EB28" w:rsidR="003D4B69" w:rsidRPr="005453FC" w:rsidRDefault="003D4B69" w:rsidP="003D4B69">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5453FC">
              <w:rPr>
                <w:rFonts w:cs="Arial"/>
                <w:sz w:val="20"/>
                <w:szCs w:val="20"/>
              </w:rPr>
              <w:t>Value of Statistical Life</w:t>
            </w:r>
          </w:p>
        </w:tc>
      </w:tr>
      <w:tr w:rsidR="003D4B69" w:rsidRPr="005453FC" w14:paraId="1DC8BD65" w14:textId="77777777" w:rsidTr="005453FC">
        <w:tc>
          <w:tcPr>
            <w:cnfStyle w:val="001000000000" w:firstRow="0" w:lastRow="0" w:firstColumn="1" w:lastColumn="0" w:oddVBand="0" w:evenVBand="0" w:oddHBand="0" w:evenHBand="0" w:firstRowFirstColumn="0" w:firstRowLastColumn="0" w:lastRowFirstColumn="0" w:lastRowLastColumn="0"/>
            <w:tcW w:w="1594" w:type="dxa"/>
          </w:tcPr>
          <w:p w14:paraId="25280CE3" w14:textId="77777777" w:rsidR="003D4B69" w:rsidRPr="005453FC" w:rsidRDefault="003D4B69" w:rsidP="003D4B69">
            <w:pPr>
              <w:spacing w:before="120"/>
              <w:rPr>
                <w:rFonts w:cs="Arial"/>
                <w:sz w:val="20"/>
                <w:szCs w:val="20"/>
              </w:rPr>
            </w:pPr>
            <w:r w:rsidRPr="005453FC">
              <w:rPr>
                <w:rFonts w:cs="Arial"/>
                <w:sz w:val="20"/>
                <w:szCs w:val="20"/>
              </w:rPr>
              <w:t>US CPSC</w:t>
            </w:r>
          </w:p>
        </w:tc>
        <w:tc>
          <w:tcPr>
            <w:tcW w:w="8012" w:type="dxa"/>
          </w:tcPr>
          <w:p w14:paraId="0C832255" w14:textId="77777777" w:rsidR="003D4B69" w:rsidRPr="005453FC" w:rsidRDefault="003D4B69" w:rsidP="003D4B69">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5453FC">
              <w:rPr>
                <w:rFonts w:cs="Arial"/>
                <w:sz w:val="20"/>
                <w:szCs w:val="20"/>
              </w:rPr>
              <w:t xml:space="preserve">United States Consumer Product Safety Commission </w:t>
            </w:r>
          </w:p>
        </w:tc>
      </w:tr>
    </w:tbl>
    <w:p w14:paraId="3C6609E9" w14:textId="77777777" w:rsidR="00CE5AF6" w:rsidRDefault="00CE5AF6" w:rsidP="009C3AF8">
      <w:pPr>
        <w:spacing w:before="0" w:after="0"/>
        <w:rPr>
          <w:rFonts w:ascii="Palatino Linotype" w:eastAsiaTheme="majorEastAsia" w:hAnsi="Palatino Linotype" w:cstheme="majorBidi"/>
          <w:bCs/>
          <w:color w:val="410099" w:themeColor="accent1"/>
          <w:sz w:val="36"/>
          <w:szCs w:val="28"/>
        </w:rPr>
        <w:sectPr w:rsidR="00CE5AF6" w:rsidSect="00CE7CA6">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440" w:left="1440" w:header="708" w:footer="708" w:gutter="0"/>
          <w:pgNumType w:fmt="lowerRoman" w:start="0"/>
          <w:cols w:space="708"/>
          <w:titlePg/>
          <w:docGrid w:linePitch="360"/>
        </w:sectPr>
      </w:pPr>
    </w:p>
    <w:p w14:paraId="3C1A2536" w14:textId="2037D999" w:rsidR="00BE6C7D" w:rsidRDefault="00BE6C7D" w:rsidP="009C3AF8">
      <w:pPr>
        <w:spacing w:before="0" w:after="0"/>
      </w:pPr>
      <w:r w:rsidRPr="00E32FC7">
        <w:rPr>
          <w:rFonts w:ascii="Palatino Linotype" w:eastAsiaTheme="majorEastAsia" w:hAnsi="Palatino Linotype" w:cstheme="majorBidi"/>
          <w:bCs/>
          <w:color w:val="410099" w:themeColor="accent1"/>
          <w:sz w:val="36"/>
          <w:szCs w:val="28"/>
        </w:rPr>
        <w:t>Mandatory information standard recommendation</w:t>
      </w:r>
    </w:p>
    <w:tbl>
      <w:tblPr>
        <w:tblStyle w:val="GridTable2-Accent3"/>
        <w:tblpPr w:leftFromText="180" w:rightFromText="180" w:vertAnchor="text" w:horzAnchor="margin" w:tblpX="-318" w:tblpY="645"/>
        <w:tblW w:w="10098" w:type="dxa"/>
        <w:tblBorders>
          <w:top w:val="single" w:sz="12" w:space="0" w:color="410099" w:themeColor="accent1"/>
          <w:left w:val="single" w:sz="12" w:space="0" w:color="410099" w:themeColor="accent1"/>
          <w:bottom w:val="single" w:sz="12" w:space="0" w:color="410099" w:themeColor="accent1"/>
          <w:right w:val="single" w:sz="12" w:space="0" w:color="410099" w:themeColor="accent1"/>
          <w:insideH w:val="single" w:sz="12" w:space="0" w:color="410099" w:themeColor="accent1"/>
          <w:insideV w:val="single" w:sz="12" w:space="0" w:color="410099" w:themeColor="accent1"/>
        </w:tblBorders>
        <w:tblLook w:val="04A0" w:firstRow="1" w:lastRow="0" w:firstColumn="1" w:lastColumn="0" w:noHBand="0" w:noVBand="1"/>
      </w:tblPr>
      <w:tblGrid>
        <w:gridCol w:w="5321"/>
        <w:gridCol w:w="4777"/>
      </w:tblGrid>
      <w:tr w:rsidR="00E32FC7" w14:paraId="03DD2DC3" w14:textId="77777777" w:rsidTr="0053184E">
        <w:trPr>
          <w:cnfStyle w:val="100000000000" w:firstRow="1" w:lastRow="0" w:firstColumn="0" w:lastColumn="0" w:oddVBand="0" w:evenVBand="0" w:oddHBand="0" w:evenHBand="0" w:firstRowFirstColumn="0" w:firstRowLastColumn="0" w:lastRowFirstColumn="0" w:lastRowLastColumn="0"/>
          <w:trHeight w:val="2951"/>
        </w:trPr>
        <w:tc>
          <w:tcPr>
            <w:cnfStyle w:val="001000000000" w:firstRow="0" w:lastRow="0" w:firstColumn="1" w:lastColumn="0" w:oddVBand="0" w:evenVBand="0" w:oddHBand="0" w:evenHBand="0" w:firstRowFirstColumn="0" w:firstRowLastColumn="0" w:lastRowFirstColumn="0" w:lastRowLastColumn="0"/>
            <w:tcW w:w="10098" w:type="dxa"/>
            <w:gridSpan w:val="2"/>
            <w:tcBorders>
              <w:top w:val="none" w:sz="0" w:space="0" w:color="auto"/>
              <w:bottom w:val="none" w:sz="0" w:space="0" w:color="auto"/>
            </w:tcBorders>
          </w:tcPr>
          <w:p w14:paraId="6AD33C80" w14:textId="6DCB3B12" w:rsidR="00E32FC7" w:rsidRPr="001744B2" w:rsidRDefault="00E32FC7" w:rsidP="00F7461A">
            <w:pPr>
              <w:rPr>
                <w:b w:val="0"/>
                <w:bCs w:val="0"/>
              </w:rPr>
            </w:pPr>
            <w:bookmarkStart w:id="83" w:name="_Toc116285555"/>
            <w:bookmarkStart w:id="84" w:name="_Toc116290647"/>
            <w:bookmarkStart w:id="85" w:name="_Toc117242768"/>
            <w:bookmarkStart w:id="86" w:name="_Toc117243038"/>
            <w:bookmarkStart w:id="87" w:name="_Toc99466205"/>
            <w:r w:rsidRPr="00E82E27">
              <w:rPr>
                <w:b w:val="0"/>
                <w:bCs w:val="0"/>
              </w:rPr>
              <w:t xml:space="preserve">The ACCC </w:t>
            </w:r>
            <w:r w:rsidR="00DA6E80" w:rsidRPr="00E82E27">
              <w:rPr>
                <w:b w:val="0"/>
                <w:bCs w:val="0"/>
              </w:rPr>
              <w:t>recommends</w:t>
            </w:r>
            <w:r w:rsidRPr="00E82E27">
              <w:rPr>
                <w:b w:val="0"/>
                <w:bCs w:val="0"/>
              </w:rPr>
              <w:t xml:space="preserve"> a </w:t>
            </w:r>
            <w:r w:rsidRPr="00E82E27">
              <w:t>mandatory information standard</w:t>
            </w:r>
            <w:r w:rsidRPr="00E82E27">
              <w:rPr>
                <w:b w:val="0"/>
                <w:bCs w:val="0"/>
              </w:rPr>
              <w:t xml:space="preserve"> requiring </w:t>
            </w:r>
            <w:r w:rsidR="005537B1" w:rsidRPr="00E82E27">
              <w:rPr>
                <w:b w:val="0"/>
                <w:bCs w:val="0"/>
              </w:rPr>
              <w:t>certain freestanding storage furniture products to include</w:t>
            </w:r>
            <w:r w:rsidRPr="00E82E27">
              <w:rPr>
                <w:b w:val="0"/>
                <w:bCs w:val="0"/>
              </w:rPr>
              <w:t xml:space="preserve"> safety information about the hazards associated with furniture </w:t>
            </w:r>
            <w:r w:rsidRPr="001744B2">
              <w:rPr>
                <w:b w:val="0"/>
                <w:bCs w:val="0"/>
              </w:rPr>
              <w:t>t</w:t>
            </w:r>
            <w:r w:rsidR="00E82E27" w:rsidRPr="001744B2">
              <w:rPr>
                <w:b w:val="0"/>
                <w:bCs w:val="0"/>
              </w:rPr>
              <w:t>oppling</w:t>
            </w:r>
            <w:r w:rsidRPr="001744B2">
              <w:rPr>
                <w:b w:val="0"/>
                <w:bCs w:val="0"/>
              </w:rPr>
              <w:t xml:space="preserve"> and how to reduce the likelihood of a</w:t>
            </w:r>
            <w:r w:rsidR="00E82E27" w:rsidRPr="001744B2">
              <w:rPr>
                <w:b w:val="0"/>
                <w:bCs w:val="0"/>
              </w:rPr>
              <w:t xml:space="preserve">n </w:t>
            </w:r>
            <w:r w:rsidRPr="001744B2">
              <w:rPr>
                <w:b w:val="0"/>
                <w:bCs w:val="0"/>
              </w:rPr>
              <w:t>incident by:</w:t>
            </w:r>
            <w:bookmarkEnd w:id="83"/>
            <w:bookmarkEnd w:id="84"/>
            <w:bookmarkEnd w:id="85"/>
            <w:bookmarkEnd w:id="86"/>
            <w:r w:rsidRPr="001744B2">
              <w:rPr>
                <w:b w:val="0"/>
                <w:bCs w:val="0"/>
              </w:rPr>
              <w:t xml:space="preserve"> </w:t>
            </w:r>
          </w:p>
          <w:p w14:paraId="44C4FBE7" w14:textId="2DE2C49E" w:rsidR="00E32FC7" w:rsidRPr="001744B2" w:rsidRDefault="00E32FC7" w:rsidP="00806096">
            <w:pPr>
              <w:pStyle w:val="Default"/>
              <w:widowControl w:val="0"/>
              <w:numPr>
                <w:ilvl w:val="0"/>
                <w:numId w:val="43"/>
              </w:numPr>
              <w:spacing w:before="60"/>
              <w:ind w:left="567" w:hanging="352"/>
              <w:rPr>
                <w:rFonts w:asciiTheme="minorHAnsi" w:hAnsiTheme="minorHAnsi" w:cstheme="minorHAnsi"/>
                <w:b w:val="0"/>
                <w:bCs w:val="0"/>
                <w:sz w:val="22"/>
                <w:szCs w:val="22"/>
              </w:rPr>
            </w:pPr>
            <w:bookmarkStart w:id="88" w:name="_Toc116285556"/>
            <w:bookmarkStart w:id="89" w:name="_Toc116290648"/>
            <w:bookmarkStart w:id="90" w:name="_Toc117242769"/>
            <w:bookmarkStart w:id="91" w:name="_Toc117243039"/>
            <w:r w:rsidRPr="001744B2">
              <w:rPr>
                <w:rFonts w:asciiTheme="minorHAnsi" w:hAnsiTheme="minorHAnsi" w:cstheme="minorHAnsi"/>
                <w:b w:val="0"/>
                <w:bCs w:val="0"/>
                <w:sz w:val="22"/>
                <w:szCs w:val="22"/>
              </w:rPr>
              <w:t>affixing a permanent warning label to the furniture</w:t>
            </w:r>
            <w:bookmarkEnd w:id="88"/>
            <w:bookmarkEnd w:id="89"/>
            <w:bookmarkEnd w:id="90"/>
            <w:bookmarkEnd w:id="91"/>
            <w:r w:rsidR="001744B2">
              <w:rPr>
                <w:rFonts w:asciiTheme="minorHAnsi" w:hAnsiTheme="minorHAnsi" w:cstheme="minorHAnsi"/>
                <w:b w:val="0"/>
                <w:bCs w:val="0"/>
                <w:sz w:val="22"/>
                <w:szCs w:val="22"/>
              </w:rPr>
              <w:t>.</w:t>
            </w:r>
          </w:p>
          <w:p w14:paraId="54009B11" w14:textId="2AF09399" w:rsidR="00E32FC7" w:rsidRPr="001744B2" w:rsidRDefault="00E32FC7" w:rsidP="00806096">
            <w:pPr>
              <w:pStyle w:val="Default"/>
              <w:widowControl w:val="0"/>
              <w:numPr>
                <w:ilvl w:val="0"/>
                <w:numId w:val="43"/>
              </w:numPr>
              <w:spacing w:before="60"/>
              <w:ind w:left="567" w:hanging="352"/>
              <w:rPr>
                <w:rFonts w:asciiTheme="minorHAnsi" w:hAnsiTheme="minorHAnsi" w:cstheme="minorHAnsi"/>
                <w:b w:val="0"/>
                <w:bCs w:val="0"/>
                <w:sz w:val="22"/>
                <w:szCs w:val="22"/>
              </w:rPr>
            </w:pPr>
            <w:bookmarkStart w:id="92" w:name="_Toc116285557"/>
            <w:bookmarkStart w:id="93" w:name="_Toc116290649"/>
            <w:bookmarkStart w:id="94" w:name="_Toc117242770"/>
            <w:bookmarkStart w:id="95" w:name="_Toc117243040"/>
            <w:r w:rsidRPr="001744B2">
              <w:rPr>
                <w:rFonts w:asciiTheme="minorHAnsi" w:hAnsiTheme="minorHAnsi" w:cstheme="minorHAnsi"/>
                <w:b w:val="0"/>
                <w:bCs w:val="0"/>
                <w:sz w:val="22"/>
                <w:szCs w:val="22"/>
              </w:rPr>
              <w:t xml:space="preserve">providing safety information in the manual and/or assembly instructions highlighting the risk </w:t>
            </w:r>
            <w:r w:rsidR="001403D2" w:rsidRPr="001744B2">
              <w:rPr>
                <w:rFonts w:asciiTheme="minorHAnsi" w:hAnsiTheme="minorHAnsi" w:cstheme="minorHAnsi"/>
                <w:b w:val="0"/>
                <w:bCs w:val="0"/>
                <w:sz w:val="22"/>
                <w:szCs w:val="22"/>
              </w:rPr>
              <w:t xml:space="preserve">  </w:t>
            </w:r>
            <w:r w:rsidRPr="001744B2">
              <w:rPr>
                <w:rFonts w:asciiTheme="minorHAnsi" w:hAnsiTheme="minorHAnsi" w:cstheme="minorHAnsi"/>
                <w:b w:val="0"/>
                <w:bCs w:val="0"/>
                <w:sz w:val="22"/>
                <w:szCs w:val="22"/>
              </w:rPr>
              <w:t>of toppling and the importance of anchoring</w:t>
            </w:r>
            <w:bookmarkEnd w:id="92"/>
            <w:bookmarkEnd w:id="93"/>
            <w:bookmarkEnd w:id="94"/>
            <w:bookmarkEnd w:id="95"/>
            <w:r w:rsidR="001744B2">
              <w:rPr>
                <w:rFonts w:asciiTheme="minorHAnsi" w:hAnsiTheme="minorHAnsi" w:cstheme="minorHAnsi"/>
                <w:b w:val="0"/>
                <w:bCs w:val="0"/>
                <w:sz w:val="22"/>
                <w:szCs w:val="22"/>
              </w:rPr>
              <w:t>.</w:t>
            </w:r>
          </w:p>
          <w:p w14:paraId="2331AD25" w14:textId="77777777" w:rsidR="00D6631A" w:rsidRPr="007A6AAB" w:rsidRDefault="00E32FC7" w:rsidP="00806096">
            <w:pPr>
              <w:pStyle w:val="Default"/>
              <w:widowControl w:val="0"/>
              <w:numPr>
                <w:ilvl w:val="0"/>
                <w:numId w:val="43"/>
              </w:numPr>
              <w:spacing w:before="60"/>
              <w:ind w:left="567" w:hanging="352"/>
              <w:rPr>
                <w:rFonts w:asciiTheme="minorHAnsi" w:hAnsiTheme="minorHAnsi" w:cstheme="minorHAnsi"/>
                <w:color w:val="auto"/>
                <w:sz w:val="22"/>
                <w:szCs w:val="22"/>
              </w:rPr>
            </w:pPr>
            <w:bookmarkStart w:id="96" w:name="_Toc116285558"/>
            <w:bookmarkStart w:id="97" w:name="_Toc116290650"/>
            <w:bookmarkStart w:id="98" w:name="_Toc117242771"/>
            <w:bookmarkStart w:id="99" w:name="_Toc117243041"/>
            <w:r w:rsidRPr="001744B2">
              <w:rPr>
                <w:rFonts w:asciiTheme="minorHAnsi" w:hAnsiTheme="minorHAnsi" w:cstheme="minorHAnsi"/>
                <w:b w:val="0"/>
                <w:bCs w:val="0"/>
                <w:sz w:val="22"/>
                <w:szCs w:val="22"/>
              </w:rPr>
              <w:t>providing warnings about toppling hazards</w:t>
            </w:r>
            <w:r w:rsidRPr="00E82E27">
              <w:rPr>
                <w:rFonts w:asciiTheme="minorHAnsi" w:hAnsiTheme="minorHAnsi" w:cstheme="minorHAnsi"/>
                <w:b w:val="0"/>
                <w:bCs w:val="0"/>
                <w:sz w:val="22"/>
                <w:szCs w:val="22"/>
              </w:rPr>
              <w:t xml:space="preserve"> at point of sale in-store and online.</w:t>
            </w:r>
            <w:bookmarkEnd w:id="96"/>
            <w:bookmarkEnd w:id="97"/>
            <w:bookmarkEnd w:id="98"/>
            <w:bookmarkEnd w:id="99"/>
          </w:p>
          <w:p w14:paraId="474A2E40" w14:textId="355E4405" w:rsidR="009F7E52" w:rsidRPr="0053184E" w:rsidRDefault="00272A94" w:rsidP="007A6AAB">
            <w:pPr>
              <w:pStyle w:val="Default"/>
              <w:widowControl w:val="0"/>
              <w:spacing w:before="60"/>
              <w:rPr>
                <w:rFonts w:asciiTheme="minorHAnsi" w:hAnsiTheme="minorHAnsi" w:cstheme="minorHAnsi"/>
                <w:color w:val="auto"/>
                <w:sz w:val="22"/>
                <w:szCs w:val="22"/>
              </w:rPr>
            </w:pPr>
            <w:r w:rsidRPr="00272A94">
              <w:rPr>
                <w:rFonts w:asciiTheme="minorHAnsi" w:hAnsiTheme="minorHAnsi" w:cstheme="minorHAnsi"/>
                <w:sz w:val="22"/>
                <w:szCs w:val="22"/>
              </w:rPr>
              <w:t>The ACCC recommends a transition period of 12 months.</w:t>
            </w:r>
            <w:r>
              <w:rPr>
                <w:rFonts w:asciiTheme="minorHAnsi" w:hAnsiTheme="minorHAnsi" w:cstheme="minorHAnsi"/>
                <w:sz w:val="22"/>
                <w:szCs w:val="22"/>
              </w:rPr>
              <w:t xml:space="preserve"> </w:t>
            </w:r>
          </w:p>
        </w:tc>
      </w:tr>
      <w:tr w:rsidR="00E32FC7" w14:paraId="01C2B143" w14:textId="77777777" w:rsidTr="0053184E">
        <w:trPr>
          <w:cnfStyle w:val="000000100000" w:firstRow="0" w:lastRow="0" w:firstColumn="0" w:lastColumn="0" w:oddVBand="0" w:evenVBand="0" w:oddHBand="1" w:evenHBand="0" w:firstRowFirstColumn="0" w:firstRowLastColumn="0" w:lastRowFirstColumn="0" w:lastRowLastColumn="0"/>
          <w:trHeight w:val="7576"/>
        </w:trPr>
        <w:tc>
          <w:tcPr>
            <w:cnfStyle w:val="001000000000" w:firstRow="0" w:lastRow="0" w:firstColumn="1" w:lastColumn="0" w:oddVBand="0" w:evenVBand="0" w:oddHBand="0" w:evenHBand="0" w:firstRowFirstColumn="0" w:firstRowLastColumn="0" w:lastRowFirstColumn="0" w:lastRowLastColumn="0"/>
            <w:tcW w:w="5321" w:type="dxa"/>
            <w:shd w:val="clear" w:color="auto" w:fill="auto"/>
          </w:tcPr>
          <w:p w14:paraId="6C3D03F2" w14:textId="77777777" w:rsidR="009C3AF8" w:rsidRDefault="009C3AF8" w:rsidP="00D6631A">
            <w:pPr>
              <w:pStyle w:val="Default"/>
              <w:widowControl w:val="0"/>
              <w:spacing w:before="60"/>
              <w:ind w:left="306"/>
              <w:rPr>
                <w:b w:val="0"/>
                <w:bCs w:val="0"/>
                <w:sz w:val="22"/>
                <w:szCs w:val="22"/>
              </w:rPr>
            </w:pPr>
          </w:p>
          <w:p w14:paraId="57314384" w14:textId="7F306C11" w:rsidR="00E32FC7" w:rsidRPr="00363398" w:rsidRDefault="00E32FC7" w:rsidP="009C3AF8">
            <w:pPr>
              <w:pStyle w:val="Default"/>
              <w:widowControl w:val="0"/>
              <w:spacing w:before="60"/>
              <w:ind w:left="306"/>
              <w:rPr>
                <w:sz w:val="22"/>
                <w:szCs w:val="22"/>
              </w:rPr>
            </w:pPr>
            <w:r w:rsidRPr="00363398">
              <w:rPr>
                <w:sz w:val="22"/>
                <w:szCs w:val="22"/>
              </w:rPr>
              <w:t>Warnings and safety information must be provided with the supply of</w:t>
            </w:r>
            <w:r w:rsidR="000E058A">
              <w:rPr>
                <w:rStyle w:val="FootnoteReference"/>
                <w:sz w:val="22"/>
                <w:szCs w:val="22"/>
              </w:rPr>
              <w:footnoteReference w:id="1"/>
            </w:r>
            <w:r w:rsidRPr="00363398">
              <w:rPr>
                <w:sz w:val="22"/>
                <w:szCs w:val="22"/>
              </w:rPr>
              <w:t>:</w:t>
            </w:r>
          </w:p>
          <w:p w14:paraId="17F80934" w14:textId="77777777" w:rsidR="00E32FC7" w:rsidRPr="00363398" w:rsidRDefault="00E32FC7" w:rsidP="009C3AF8">
            <w:pPr>
              <w:pStyle w:val="Default"/>
              <w:widowControl w:val="0"/>
              <w:spacing w:before="60"/>
              <w:ind w:left="426"/>
              <w:rPr>
                <w:b w:val="0"/>
                <w:bCs w:val="0"/>
                <w:i/>
                <w:iCs/>
                <w:color w:val="auto"/>
                <w:sz w:val="22"/>
                <w:szCs w:val="22"/>
                <w:u w:val="single"/>
              </w:rPr>
            </w:pPr>
            <w:r w:rsidRPr="00363398">
              <w:rPr>
                <w:b w:val="0"/>
                <w:bCs w:val="0"/>
                <w:i/>
                <w:iCs/>
                <w:color w:val="auto"/>
                <w:sz w:val="22"/>
                <w:szCs w:val="22"/>
                <w:u w:val="single"/>
              </w:rPr>
              <w:t>Category 1 – highest risk items prevalent in injury and fatality data</w:t>
            </w:r>
          </w:p>
          <w:p w14:paraId="2185D919" w14:textId="5F4F8448" w:rsidR="00E32FC7" w:rsidRPr="00363398" w:rsidRDefault="00E32FC7" w:rsidP="00806096">
            <w:pPr>
              <w:pStyle w:val="Default"/>
              <w:widowControl w:val="0"/>
              <w:numPr>
                <w:ilvl w:val="0"/>
                <w:numId w:val="43"/>
              </w:numPr>
              <w:spacing w:before="60"/>
              <w:ind w:left="567" w:hanging="350"/>
              <w:rPr>
                <w:rFonts w:asciiTheme="minorHAnsi" w:hAnsiTheme="minorHAnsi" w:cstheme="minorHAnsi"/>
                <w:b w:val="0"/>
                <w:bCs w:val="0"/>
                <w:sz w:val="22"/>
                <w:szCs w:val="22"/>
              </w:rPr>
            </w:pPr>
            <w:r w:rsidRPr="00363398">
              <w:rPr>
                <w:rFonts w:asciiTheme="minorHAnsi" w:hAnsiTheme="minorHAnsi" w:cstheme="minorHAnsi"/>
                <w:b w:val="0"/>
                <w:bCs w:val="0"/>
                <w:sz w:val="22"/>
                <w:szCs w:val="22"/>
              </w:rPr>
              <w:t>A freestanding furniture</w:t>
            </w:r>
            <w:r w:rsidR="00DA6E80">
              <w:rPr>
                <w:rFonts w:asciiTheme="minorHAnsi" w:hAnsiTheme="minorHAnsi" w:cstheme="minorHAnsi"/>
                <w:b w:val="0"/>
                <w:bCs w:val="0"/>
                <w:sz w:val="22"/>
                <w:szCs w:val="22"/>
              </w:rPr>
              <w:t xml:space="preserve"> item</w:t>
            </w:r>
            <w:r w:rsidRPr="00363398">
              <w:rPr>
                <w:rFonts w:asciiTheme="minorHAnsi" w:hAnsiTheme="minorHAnsi" w:cstheme="minorHAnsi"/>
                <w:b w:val="0"/>
                <w:bCs w:val="0"/>
                <w:sz w:val="22"/>
                <w:szCs w:val="22"/>
              </w:rPr>
              <w:t xml:space="preserve"> </w:t>
            </w:r>
            <w:r w:rsidR="00552E9A">
              <w:rPr>
                <w:rFonts w:asciiTheme="minorHAnsi" w:hAnsiTheme="minorHAnsi" w:cstheme="minorHAnsi"/>
                <w:b w:val="0"/>
                <w:bCs w:val="0"/>
                <w:sz w:val="22"/>
                <w:szCs w:val="22"/>
              </w:rPr>
              <w:t xml:space="preserve">with a height </w:t>
            </w:r>
            <w:r w:rsidR="00483A1C">
              <w:rPr>
                <w:rFonts w:asciiTheme="minorHAnsi" w:hAnsiTheme="minorHAnsi" w:cstheme="minorHAnsi"/>
                <w:b w:val="0"/>
                <w:bCs w:val="0"/>
                <w:sz w:val="22"/>
                <w:szCs w:val="22"/>
              </w:rPr>
              <w:t>above</w:t>
            </w:r>
            <w:r w:rsidR="00414DD7">
              <w:rPr>
                <w:rFonts w:asciiTheme="minorHAnsi" w:hAnsiTheme="minorHAnsi" w:cstheme="minorHAnsi"/>
                <w:b w:val="0"/>
                <w:bCs w:val="0"/>
                <w:sz w:val="22"/>
                <w:szCs w:val="22"/>
              </w:rPr>
              <w:t xml:space="preserve"> </w:t>
            </w:r>
            <w:r w:rsidR="00414DD7" w:rsidRPr="00363398">
              <w:rPr>
                <w:rFonts w:asciiTheme="minorHAnsi" w:hAnsiTheme="minorHAnsi" w:cstheme="minorHAnsi"/>
                <w:b w:val="0"/>
                <w:bCs w:val="0"/>
                <w:sz w:val="22"/>
                <w:szCs w:val="22"/>
              </w:rPr>
              <w:t>500</w:t>
            </w:r>
            <w:r w:rsidRPr="00363398">
              <w:rPr>
                <w:rFonts w:asciiTheme="minorHAnsi" w:hAnsiTheme="minorHAnsi" w:cstheme="minorHAnsi"/>
                <w:b w:val="0"/>
                <w:bCs w:val="0"/>
                <w:sz w:val="22"/>
                <w:szCs w:val="22"/>
              </w:rPr>
              <w:t xml:space="preserve">mm that contains one or more drawers or other extendible elements and intended for the storage of clothing. It may also contain one or more doors or one or more shelves, or both, in various configurations. </w:t>
            </w:r>
          </w:p>
          <w:p w14:paraId="26E65951" w14:textId="0892B4D9" w:rsidR="00E32FC7" w:rsidRPr="00363398" w:rsidRDefault="00E32FC7" w:rsidP="00806096">
            <w:pPr>
              <w:pStyle w:val="Default"/>
              <w:widowControl w:val="0"/>
              <w:numPr>
                <w:ilvl w:val="0"/>
                <w:numId w:val="43"/>
              </w:numPr>
              <w:spacing w:before="60"/>
              <w:ind w:left="567" w:hanging="350"/>
              <w:rPr>
                <w:rFonts w:asciiTheme="minorHAnsi" w:hAnsiTheme="minorHAnsi" w:cstheme="minorHAnsi"/>
                <w:b w:val="0"/>
                <w:bCs w:val="0"/>
                <w:sz w:val="22"/>
                <w:szCs w:val="22"/>
              </w:rPr>
            </w:pPr>
            <w:r w:rsidRPr="00363398">
              <w:rPr>
                <w:rFonts w:asciiTheme="minorHAnsi" w:hAnsiTheme="minorHAnsi" w:cstheme="minorHAnsi"/>
                <w:b w:val="0"/>
                <w:bCs w:val="0"/>
                <w:sz w:val="22"/>
                <w:szCs w:val="22"/>
              </w:rPr>
              <w:t xml:space="preserve">A freestanding </w:t>
            </w:r>
            <w:r w:rsidR="003938BB">
              <w:rPr>
                <w:rFonts w:asciiTheme="minorHAnsi" w:hAnsiTheme="minorHAnsi" w:cstheme="minorHAnsi"/>
                <w:b w:val="0"/>
                <w:bCs w:val="0"/>
                <w:sz w:val="22"/>
                <w:szCs w:val="22"/>
              </w:rPr>
              <w:t xml:space="preserve">item </w:t>
            </w:r>
            <w:r w:rsidR="00277260">
              <w:rPr>
                <w:rFonts w:asciiTheme="minorHAnsi" w:hAnsiTheme="minorHAnsi" w:cstheme="minorHAnsi"/>
                <w:b w:val="0"/>
                <w:bCs w:val="0"/>
                <w:sz w:val="22"/>
                <w:szCs w:val="22"/>
              </w:rPr>
              <w:t xml:space="preserve">with a height </w:t>
            </w:r>
            <w:r w:rsidR="00483A1C">
              <w:rPr>
                <w:rFonts w:asciiTheme="minorHAnsi" w:hAnsiTheme="minorHAnsi" w:cstheme="minorHAnsi"/>
                <w:b w:val="0"/>
                <w:bCs w:val="0"/>
                <w:sz w:val="22"/>
                <w:szCs w:val="22"/>
              </w:rPr>
              <w:t>above</w:t>
            </w:r>
            <w:r w:rsidR="00277260" w:rsidRPr="00363398">
              <w:rPr>
                <w:rFonts w:asciiTheme="minorHAnsi" w:hAnsiTheme="minorHAnsi" w:cstheme="minorHAnsi"/>
                <w:b w:val="0"/>
                <w:bCs w:val="0"/>
                <w:sz w:val="22"/>
                <w:szCs w:val="22"/>
              </w:rPr>
              <w:t xml:space="preserve"> </w:t>
            </w:r>
            <w:r w:rsidR="00483A1C">
              <w:rPr>
                <w:rFonts w:asciiTheme="minorHAnsi" w:hAnsiTheme="minorHAnsi" w:cstheme="minorHAnsi"/>
                <w:b w:val="0"/>
                <w:bCs w:val="0"/>
                <w:sz w:val="22"/>
                <w:szCs w:val="22"/>
              </w:rPr>
              <w:br/>
            </w:r>
            <w:r w:rsidRPr="00363398">
              <w:rPr>
                <w:rFonts w:asciiTheme="minorHAnsi" w:hAnsiTheme="minorHAnsi" w:cstheme="minorHAnsi"/>
                <w:b w:val="0"/>
                <w:bCs w:val="0"/>
                <w:sz w:val="22"/>
                <w:szCs w:val="22"/>
              </w:rPr>
              <w:t xml:space="preserve">600mm primarily intended for the storage of books. It may also </w:t>
            </w:r>
            <w:r w:rsidR="00BF067B">
              <w:rPr>
                <w:rFonts w:asciiTheme="minorHAnsi" w:hAnsiTheme="minorHAnsi" w:cstheme="minorHAnsi"/>
                <w:b w:val="0"/>
                <w:bCs w:val="0"/>
                <w:sz w:val="22"/>
                <w:szCs w:val="22"/>
              </w:rPr>
              <w:t xml:space="preserve">feature </w:t>
            </w:r>
            <w:r w:rsidRPr="00363398">
              <w:rPr>
                <w:rFonts w:asciiTheme="minorHAnsi" w:hAnsiTheme="minorHAnsi" w:cstheme="minorHAnsi"/>
                <w:b w:val="0"/>
                <w:bCs w:val="0"/>
                <w:sz w:val="22"/>
                <w:szCs w:val="22"/>
              </w:rPr>
              <w:t xml:space="preserve">doors, </w:t>
            </w:r>
            <w:r w:rsidR="004F12A5" w:rsidRPr="00363398">
              <w:rPr>
                <w:rFonts w:asciiTheme="minorHAnsi" w:hAnsiTheme="minorHAnsi" w:cstheme="minorHAnsi"/>
                <w:b w:val="0"/>
                <w:bCs w:val="0"/>
                <w:sz w:val="22"/>
                <w:szCs w:val="22"/>
              </w:rPr>
              <w:t>drawers,</w:t>
            </w:r>
            <w:r w:rsidRPr="00363398">
              <w:rPr>
                <w:rFonts w:asciiTheme="minorHAnsi" w:hAnsiTheme="minorHAnsi" w:cstheme="minorHAnsi"/>
                <w:b w:val="0"/>
                <w:bCs w:val="0"/>
                <w:sz w:val="22"/>
                <w:szCs w:val="22"/>
              </w:rPr>
              <w:t xml:space="preserve"> or other extendible elements. </w:t>
            </w:r>
          </w:p>
          <w:p w14:paraId="6DFD4BF8" w14:textId="22834E6B" w:rsidR="00E32FC7" w:rsidRPr="00363398" w:rsidRDefault="00E32FC7" w:rsidP="009C3AF8">
            <w:pPr>
              <w:pStyle w:val="Default"/>
              <w:widowControl w:val="0"/>
              <w:spacing w:before="60"/>
              <w:ind w:left="426"/>
              <w:rPr>
                <w:b w:val="0"/>
                <w:bCs w:val="0"/>
                <w:i/>
                <w:iCs/>
                <w:color w:val="auto"/>
                <w:sz w:val="22"/>
                <w:szCs w:val="22"/>
                <w:u w:val="single"/>
              </w:rPr>
            </w:pPr>
            <w:r w:rsidRPr="00363398">
              <w:rPr>
                <w:b w:val="0"/>
                <w:bCs w:val="0"/>
                <w:i/>
                <w:iCs/>
                <w:color w:val="auto"/>
                <w:sz w:val="22"/>
                <w:szCs w:val="22"/>
                <w:u w:val="single"/>
              </w:rPr>
              <w:t xml:space="preserve">Category 2 – items where the risk is unsecured heavy items falling off </w:t>
            </w:r>
          </w:p>
          <w:p w14:paraId="2958573D" w14:textId="4082168E" w:rsidR="00E32FC7" w:rsidRPr="00363398" w:rsidRDefault="00247214" w:rsidP="00806096">
            <w:pPr>
              <w:pStyle w:val="Default"/>
              <w:widowControl w:val="0"/>
              <w:numPr>
                <w:ilvl w:val="0"/>
                <w:numId w:val="43"/>
              </w:numPr>
              <w:spacing w:before="60"/>
              <w:ind w:left="567" w:hanging="350"/>
              <w:rPr>
                <w:rFonts w:asciiTheme="minorHAnsi" w:hAnsiTheme="minorHAnsi" w:cstheme="minorHAnsi"/>
                <w:b w:val="0"/>
                <w:bCs w:val="0"/>
                <w:sz w:val="22"/>
                <w:szCs w:val="22"/>
              </w:rPr>
            </w:pPr>
            <w:r>
              <w:rPr>
                <w:rFonts w:asciiTheme="minorHAnsi" w:hAnsiTheme="minorHAnsi" w:cstheme="minorHAnsi"/>
                <w:b w:val="0"/>
                <w:bCs w:val="0"/>
                <w:sz w:val="22"/>
                <w:szCs w:val="22"/>
              </w:rPr>
              <w:t>E</w:t>
            </w:r>
            <w:r w:rsidR="00E32FC7" w:rsidRPr="00363398">
              <w:rPr>
                <w:rFonts w:asciiTheme="minorHAnsi" w:hAnsiTheme="minorHAnsi" w:cstheme="minorHAnsi"/>
                <w:b w:val="0"/>
                <w:bCs w:val="0"/>
                <w:sz w:val="22"/>
                <w:szCs w:val="22"/>
              </w:rPr>
              <w:t>ntertainment units of an</w:t>
            </w:r>
            <w:r w:rsidR="00F05000">
              <w:rPr>
                <w:rFonts w:asciiTheme="minorHAnsi" w:hAnsiTheme="minorHAnsi" w:cstheme="minorHAnsi"/>
                <w:b w:val="0"/>
                <w:bCs w:val="0"/>
                <w:sz w:val="22"/>
                <w:szCs w:val="22"/>
              </w:rPr>
              <w:t>y</w:t>
            </w:r>
            <w:r w:rsidR="00E32FC7" w:rsidRPr="00363398">
              <w:rPr>
                <w:rFonts w:asciiTheme="minorHAnsi" w:hAnsiTheme="minorHAnsi" w:cstheme="minorHAnsi"/>
                <w:b w:val="0"/>
                <w:bCs w:val="0"/>
                <w:sz w:val="22"/>
                <w:szCs w:val="22"/>
              </w:rPr>
              <w:t xml:space="preserve"> height typically used for </w:t>
            </w:r>
            <w:r w:rsidR="00414DD7" w:rsidRPr="00363398">
              <w:rPr>
                <w:rFonts w:asciiTheme="minorHAnsi" w:hAnsiTheme="minorHAnsi" w:cstheme="minorHAnsi"/>
                <w:b w:val="0"/>
                <w:bCs w:val="0"/>
                <w:sz w:val="22"/>
                <w:szCs w:val="22"/>
              </w:rPr>
              <w:t>housing televisions</w:t>
            </w:r>
            <w:r w:rsidR="00E32FC7" w:rsidRPr="00363398">
              <w:rPr>
                <w:rFonts w:asciiTheme="minorHAnsi" w:hAnsiTheme="minorHAnsi" w:cstheme="minorHAnsi"/>
                <w:b w:val="0"/>
                <w:bCs w:val="0"/>
                <w:sz w:val="22"/>
                <w:szCs w:val="22"/>
              </w:rPr>
              <w:t>, home theatre system</w:t>
            </w:r>
            <w:r w:rsidR="00BF067B">
              <w:rPr>
                <w:rFonts w:asciiTheme="minorHAnsi" w:hAnsiTheme="minorHAnsi" w:cstheme="minorHAnsi"/>
                <w:b w:val="0"/>
                <w:bCs w:val="0"/>
                <w:sz w:val="22"/>
                <w:szCs w:val="22"/>
              </w:rPr>
              <w:t>s</w:t>
            </w:r>
            <w:r w:rsidR="00E32FC7" w:rsidRPr="00363398">
              <w:rPr>
                <w:rFonts w:asciiTheme="minorHAnsi" w:hAnsiTheme="minorHAnsi" w:cstheme="minorHAnsi"/>
                <w:b w:val="0"/>
                <w:bCs w:val="0"/>
                <w:sz w:val="22"/>
                <w:szCs w:val="22"/>
              </w:rPr>
              <w:t xml:space="preserve"> </w:t>
            </w:r>
            <w:r w:rsidR="00BF067B">
              <w:rPr>
                <w:rFonts w:asciiTheme="minorHAnsi" w:hAnsiTheme="minorHAnsi" w:cstheme="minorHAnsi"/>
                <w:b w:val="0"/>
                <w:bCs w:val="0"/>
                <w:sz w:val="22"/>
                <w:szCs w:val="22"/>
              </w:rPr>
              <w:t>and/</w:t>
            </w:r>
            <w:r w:rsidR="00E32FC7" w:rsidRPr="00363398">
              <w:rPr>
                <w:rFonts w:asciiTheme="minorHAnsi" w:hAnsiTheme="minorHAnsi" w:cstheme="minorHAnsi"/>
                <w:b w:val="0"/>
                <w:bCs w:val="0"/>
                <w:sz w:val="22"/>
                <w:szCs w:val="22"/>
              </w:rPr>
              <w:t>or gaming consoles</w:t>
            </w:r>
            <w:r>
              <w:rPr>
                <w:rFonts w:asciiTheme="minorHAnsi" w:hAnsiTheme="minorHAnsi" w:cstheme="minorHAnsi"/>
                <w:b w:val="0"/>
                <w:bCs w:val="0"/>
                <w:sz w:val="22"/>
                <w:szCs w:val="22"/>
              </w:rPr>
              <w:t>.</w:t>
            </w:r>
            <w:r w:rsidR="00E32FC7" w:rsidRPr="00363398">
              <w:rPr>
                <w:rFonts w:asciiTheme="minorHAnsi" w:hAnsiTheme="minorHAnsi" w:cstheme="minorHAnsi"/>
                <w:b w:val="0"/>
                <w:bCs w:val="0"/>
                <w:sz w:val="22"/>
                <w:szCs w:val="22"/>
              </w:rPr>
              <w:t xml:space="preserve"> </w:t>
            </w:r>
          </w:p>
          <w:p w14:paraId="3D179999" w14:textId="77777777" w:rsidR="00E32FC7" w:rsidRPr="00363398" w:rsidRDefault="00E32FC7" w:rsidP="009C3AF8">
            <w:pPr>
              <w:pStyle w:val="Default"/>
              <w:widowControl w:val="0"/>
              <w:spacing w:before="60"/>
              <w:ind w:left="284"/>
              <w:rPr>
                <w:b w:val="0"/>
                <w:bCs w:val="0"/>
                <w:i/>
                <w:iCs/>
                <w:color w:val="auto"/>
                <w:sz w:val="22"/>
                <w:szCs w:val="22"/>
                <w:u w:val="single"/>
              </w:rPr>
            </w:pPr>
            <w:r w:rsidRPr="00363398">
              <w:rPr>
                <w:b w:val="0"/>
                <w:bCs w:val="0"/>
                <w:i/>
                <w:iCs/>
                <w:color w:val="auto"/>
                <w:sz w:val="22"/>
                <w:szCs w:val="22"/>
                <w:u w:val="single"/>
              </w:rPr>
              <w:t>Category 3 – other items that appear in injury and fatality data</w:t>
            </w:r>
          </w:p>
          <w:p w14:paraId="4D6C65A3" w14:textId="7F309184" w:rsidR="00E32FC7" w:rsidRPr="00363398" w:rsidRDefault="00247214" w:rsidP="00806096">
            <w:pPr>
              <w:pStyle w:val="Default"/>
              <w:widowControl w:val="0"/>
              <w:numPr>
                <w:ilvl w:val="0"/>
                <w:numId w:val="43"/>
              </w:numPr>
              <w:spacing w:before="60"/>
              <w:ind w:left="567" w:hanging="350"/>
              <w:rPr>
                <w:rFonts w:asciiTheme="minorHAnsi" w:hAnsiTheme="minorHAnsi" w:cstheme="minorHAnsi"/>
                <w:b w:val="0"/>
                <w:bCs w:val="0"/>
                <w:color w:val="auto"/>
                <w:sz w:val="22"/>
                <w:szCs w:val="22"/>
              </w:rPr>
            </w:pPr>
            <w:r>
              <w:rPr>
                <w:rFonts w:asciiTheme="minorHAnsi" w:hAnsiTheme="minorHAnsi" w:cstheme="minorHAnsi"/>
                <w:b w:val="0"/>
                <w:bCs w:val="0"/>
                <w:sz w:val="22"/>
                <w:szCs w:val="22"/>
              </w:rPr>
              <w:t>H</w:t>
            </w:r>
            <w:r w:rsidR="00E32FC7" w:rsidRPr="00363398">
              <w:rPr>
                <w:rFonts w:asciiTheme="minorHAnsi" w:hAnsiTheme="minorHAnsi" w:cstheme="minorHAnsi"/>
                <w:b w:val="0"/>
                <w:bCs w:val="0"/>
                <w:sz w:val="22"/>
                <w:szCs w:val="22"/>
              </w:rPr>
              <w:t xml:space="preserve">all tables, display cabinets, buffets, and sideboards with a height </w:t>
            </w:r>
            <w:r w:rsidR="00483A1C">
              <w:rPr>
                <w:rFonts w:asciiTheme="minorHAnsi" w:hAnsiTheme="minorHAnsi" w:cstheme="minorHAnsi"/>
                <w:b w:val="0"/>
                <w:bCs w:val="0"/>
                <w:sz w:val="22"/>
                <w:szCs w:val="22"/>
              </w:rPr>
              <w:t>above</w:t>
            </w:r>
            <w:r w:rsidR="00E32FC7" w:rsidRPr="00363398">
              <w:rPr>
                <w:rFonts w:asciiTheme="minorHAnsi" w:hAnsiTheme="minorHAnsi" w:cstheme="minorHAnsi"/>
                <w:b w:val="0"/>
                <w:bCs w:val="0"/>
                <w:sz w:val="22"/>
                <w:szCs w:val="22"/>
              </w:rPr>
              <w:t xml:space="preserve"> 500mm. </w:t>
            </w:r>
          </w:p>
        </w:tc>
        <w:tc>
          <w:tcPr>
            <w:tcW w:w="4777" w:type="dxa"/>
            <w:shd w:val="clear" w:color="auto" w:fill="auto"/>
          </w:tcPr>
          <w:p w14:paraId="2C8DBA39" w14:textId="69560A77" w:rsidR="00E32FC7" w:rsidRPr="00483A1C" w:rsidRDefault="00AD66B1" w:rsidP="00483A1C">
            <w:pPr>
              <w:pStyle w:val="Default"/>
              <w:widowControl w:val="0"/>
              <w:spacing w:before="60"/>
              <w:jc w:val="center"/>
              <w:cnfStyle w:val="000000100000" w:firstRow="0" w:lastRow="0" w:firstColumn="0" w:lastColumn="0" w:oddVBand="0" w:evenVBand="0" w:oddHBand="1" w:evenHBand="0" w:firstRowFirstColumn="0" w:firstRowLastColumn="0" w:lastRowFirstColumn="0" w:lastRowLastColumn="0"/>
              <w:rPr>
                <w:sz w:val="28"/>
                <w:szCs w:val="28"/>
              </w:rPr>
            </w:pPr>
            <w:bookmarkStart w:id="100" w:name="_Toc116285559"/>
            <w:bookmarkStart w:id="101" w:name="_Toc116290651"/>
            <w:bookmarkStart w:id="102" w:name="_Toc117242772"/>
            <w:bookmarkStart w:id="103" w:name="_Toc117243042"/>
            <w:r>
              <w:rPr>
                <w:noProof/>
                <w:lang w:eastAsia="en-AU"/>
              </w:rPr>
              <w:drawing>
                <wp:anchor distT="0" distB="0" distL="114300" distR="114300" simplePos="0" relativeHeight="251667456" behindDoc="1" locked="0" layoutInCell="1" allowOverlap="1" wp14:anchorId="623BFFA1" wp14:editId="1363E54A">
                  <wp:simplePos x="0" y="0"/>
                  <wp:positionH relativeFrom="column">
                    <wp:posOffset>158115</wp:posOffset>
                  </wp:positionH>
                  <wp:positionV relativeFrom="paragraph">
                    <wp:posOffset>509905</wp:posOffset>
                  </wp:positionV>
                  <wp:extent cx="2572385" cy="3839210"/>
                  <wp:effectExtent l="0" t="0" r="0" b="0"/>
                  <wp:wrapTight wrapText="bothSides">
                    <wp:wrapPolygon edited="0">
                      <wp:start x="0" y="0"/>
                      <wp:lineTo x="0" y="21543"/>
                      <wp:lineTo x="21435" y="21543"/>
                      <wp:lineTo x="214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2385" cy="3839210"/>
                          </a:xfrm>
                          <a:prstGeom prst="rect">
                            <a:avLst/>
                          </a:prstGeom>
                          <a:noFill/>
                        </pic:spPr>
                      </pic:pic>
                    </a:graphicData>
                  </a:graphic>
                </wp:anchor>
              </w:drawing>
            </w:r>
            <w:r w:rsidR="00E32FC7" w:rsidRPr="009C3AF8">
              <w:rPr>
                <w:b/>
                <w:bCs/>
                <w:sz w:val="28"/>
                <w:szCs w:val="28"/>
              </w:rPr>
              <w:t>Example warning label</w:t>
            </w:r>
            <w:bookmarkEnd w:id="100"/>
            <w:bookmarkEnd w:id="101"/>
            <w:bookmarkEnd w:id="102"/>
            <w:bookmarkEnd w:id="103"/>
            <w:r w:rsidR="00483A1C">
              <w:rPr>
                <w:b/>
                <w:bCs/>
                <w:sz w:val="20"/>
                <w:szCs w:val="20"/>
                <w:u w:val="single"/>
              </w:rPr>
              <w:br/>
            </w:r>
            <w:r w:rsidR="00483A1C" w:rsidRPr="00AD66B1">
              <w:rPr>
                <w:i/>
                <w:iCs/>
                <w:sz w:val="20"/>
                <w:szCs w:val="20"/>
                <w:u w:val="single"/>
              </w:rPr>
              <w:t>Category 1</w:t>
            </w:r>
          </w:p>
          <w:p w14:paraId="542DF2A6" w14:textId="3BB6A7F4" w:rsidR="00E32FC7" w:rsidRPr="00363398" w:rsidRDefault="00E32FC7" w:rsidP="0084359C">
            <w:pPr>
              <w:cnfStyle w:val="000000100000" w:firstRow="0" w:lastRow="0" w:firstColumn="0" w:lastColumn="0" w:oddVBand="0" w:evenVBand="0" w:oddHBand="1" w:evenHBand="0" w:firstRowFirstColumn="0" w:firstRowLastColumn="0" w:lastRowFirstColumn="0" w:lastRowLastColumn="0"/>
            </w:pPr>
          </w:p>
        </w:tc>
      </w:tr>
      <w:tr w:rsidR="00E32FC7" w14:paraId="7D9421CA" w14:textId="77777777" w:rsidTr="0053184E">
        <w:trPr>
          <w:trHeight w:val="1080"/>
        </w:trPr>
        <w:tc>
          <w:tcPr>
            <w:cnfStyle w:val="001000000000" w:firstRow="0" w:lastRow="0" w:firstColumn="1" w:lastColumn="0" w:oddVBand="0" w:evenVBand="0" w:oddHBand="0" w:evenHBand="0" w:firstRowFirstColumn="0" w:firstRowLastColumn="0" w:lastRowFirstColumn="0" w:lastRowLastColumn="0"/>
            <w:tcW w:w="10098" w:type="dxa"/>
            <w:gridSpan w:val="2"/>
          </w:tcPr>
          <w:p w14:paraId="2516FA7C" w14:textId="182A5318" w:rsidR="00E32FC7" w:rsidRPr="00363398" w:rsidRDefault="00E32FC7" w:rsidP="0084359C">
            <w:pPr>
              <w:jc w:val="center"/>
            </w:pPr>
            <w:r w:rsidRPr="00784213">
              <w:t>Exclusions</w:t>
            </w:r>
            <w:r w:rsidRPr="00363398">
              <w:rPr>
                <w:b w:val="0"/>
                <w:bCs w:val="0"/>
              </w:rPr>
              <w:t>: The requirements will not apply to second-hand</w:t>
            </w:r>
            <w:r w:rsidR="00DD4076">
              <w:rPr>
                <w:b w:val="0"/>
                <w:bCs w:val="0"/>
              </w:rPr>
              <w:t xml:space="preserve"> </w:t>
            </w:r>
            <w:r w:rsidRPr="00363398">
              <w:rPr>
                <w:b w:val="0"/>
                <w:bCs w:val="0"/>
              </w:rPr>
              <w:t>furniture.</w:t>
            </w:r>
          </w:p>
        </w:tc>
      </w:tr>
    </w:tbl>
    <w:p w14:paraId="644E8955" w14:textId="3E3DBDB3" w:rsidR="00364492" w:rsidRDefault="00364492" w:rsidP="00F05000">
      <w:pPr>
        <w:pStyle w:val="Heading1"/>
        <w:spacing w:before="120"/>
      </w:pPr>
      <w:bookmarkStart w:id="104" w:name="_Toc126074099"/>
      <w:r w:rsidRPr="005D4886">
        <w:t xml:space="preserve">Executive </w:t>
      </w:r>
      <w:r w:rsidR="00BA46A5" w:rsidRPr="005D4886">
        <w:t>summary</w:t>
      </w:r>
      <w:bookmarkEnd w:id="104"/>
      <w:r w:rsidR="00BA46A5" w:rsidRPr="005D4886">
        <w:t xml:space="preserve"> </w:t>
      </w:r>
      <w:bookmarkEnd w:id="87"/>
    </w:p>
    <w:p w14:paraId="01128CD4" w14:textId="0C5B6B9A" w:rsidR="00236C1C" w:rsidRPr="004C396F" w:rsidRDefault="001E68F7" w:rsidP="00F05000">
      <w:pPr>
        <w:spacing w:before="120"/>
      </w:pPr>
      <w:r w:rsidRPr="004C396F">
        <w:t>The ACCC is aware of at least 28 deaths associated with toppling furniture in Australia since 2000.</w:t>
      </w:r>
      <w:r w:rsidR="00AF11B9">
        <w:t xml:space="preserve"> </w:t>
      </w:r>
      <w:r w:rsidR="00A56D95">
        <w:t>We</w:t>
      </w:r>
      <w:r w:rsidR="009B3590">
        <w:t xml:space="preserve"> </w:t>
      </w:r>
      <w:r w:rsidR="006435E6" w:rsidRPr="004C396F">
        <w:t>estimate</w:t>
      </w:r>
      <w:r w:rsidR="00751459" w:rsidRPr="004C396F">
        <w:t xml:space="preserve"> </w:t>
      </w:r>
      <w:r w:rsidR="003647E1">
        <w:t>toppling furniture causes</w:t>
      </w:r>
      <w:r w:rsidR="006435E6" w:rsidRPr="004C396F">
        <w:t xml:space="preserve"> </w:t>
      </w:r>
      <w:r w:rsidR="00236C1C" w:rsidRPr="004C396F">
        <w:t>at least 900 injuries a year</w:t>
      </w:r>
      <w:r w:rsidR="009A4C18">
        <w:t xml:space="preserve"> that</w:t>
      </w:r>
      <w:r w:rsidR="00952D2D">
        <w:t xml:space="preserve"> require</w:t>
      </w:r>
      <w:r w:rsidR="00236C1C" w:rsidRPr="004C396F">
        <w:t xml:space="preserve"> medical treatment</w:t>
      </w:r>
      <w:r w:rsidR="006435E6" w:rsidRPr="004C396F">
        <w:t>.</w:t>
      </w:r>
      <w:r w:rsidR="009A4C18">
        <w:rPr>
          <w:rStyle w:val="FootnoteReference"/>
        </w:rPr>
        <w:footnoteReference w:id="2"/>
      </w:r>
      <w:r w:rsidR="00F15806" w:rsidRPr="004C396F">
        <w:t xml:space="preserve"> In dollar terms, </w:t>
      </w:r>
      <w:r w:rsidR="00751459" w:rsidRPr="004C396F">
        <w:t>the</w:t>
      </w:r>
      <w:r w:rsidR="00705572" w:rsidRPr="004C396F">
        <w:t xml:space="preserve"> </w:t>
      </w:r>
      <w:r w:rsidR="00236C1C" w:rsidRPr="004C396F">
        <w:t xml:space="preserve">cost </w:t>
      </w:r>
      <w:r w:rsidR="00751459" w:rsidRPr="004C396F">
        <w:t xml:space="preserve">to </w:t>
      </w:r>
      <w:r w:rsidR="00236C1C" w:rsidRPr="004C396F">
        <w:t>government</w:t>
      </w:r>
      <w:r w:rsidR="00751459" w:rsidRPr="004C396F">
        <w:t xml:space="preserve"> is</w:t>
      </w:r>
      <w:r w:rsidR="00236C1C" w:rsidRPr="004C396F">
        <w:t xml:space="preserve"> </w:t>
      </w:r>
      <w:r w:rsidR="00A92EF6">
        <w:t>at least</w:t>
      </w:r>
      <w:r w:rsidR="00A92EF6" w:rsidRPr="004C396F">
        <w:t xml:space="preserve"> </w:t>
      </w:r>
      <w:r w:rsidR="00236C1C" w:rsidRPr="004C396F">
        <w:t>$</w:t>
      </w:r>
      <w:r w:rsidR="00F15806" w:rsidRPr="004C396F">
        <w:t>8</w:t>
      </w:r>
      <w:r w:rsidR="00236C1C" w:rsidRPr="004C396F">
        <w:t xml:space="preserve"> million dollars a year</w:t>
      </w:r>
      <w:r w:rsidR="00681E6E">
        <w:t>, and the true cost to families and communit</w:t>
      </w:r>
      <w:r w:rsidR="003647E1">
        <w:t>ies</w:t>
      </w:r>
      <w:r w:rsidR="00681E6E">
        <w:t xml:space="preserve"> is incalculable</w:t>
      </w:r>
      <w:r w:rsidR="00236C1C" w:rsidRPr="004C396F">
        <w:t>.</w:t>
      </w:r>
      <w:r w:rsidR="00F15806" w:rsidRPr="004C396F">
        <w:rPr>
          <w:rStyle w:val="FootnoteReference"/>
        </w:rPr>
        <w:footnoteReference w:id="3"/>
      </w:r>
      <w:r w:rsidR="00236C1C" w:rsidRPr="004C396F">
        <w:t xml:space="preserve"> </w:t>
      </w:r>
    </w:p>
    <w:p w14:paraId="6D3545AF" w14:textId="75CCF7EF" w:rsidR="007B5532" w:rsidRDefault="00236C1C" w:rsidP="007B5532">
      <w:pPr>
        <w:spacing w:before="120"/>
      </w:pPr>
      <w:r w:rsidRPr="004C396F">
        <w:t>Freestanding storage furniture such as chest</w:t>
      </w:r>
      <w:r w:rsidR="00993C96">
        <w:t>s</w:t>
      </w:r>
      <w:r w:rsidRPr="004C396F">
        <w:t xml:space="preserve"> of drawers, cupboards, wardrobes </w:t>
      </w:r>
      <w:r w:rsidR="004F78F0">
        <w:t xml:space="preserve">and </w:t>
      </w:r>
      <w:r w:rsidR="00B516F5" w:rsidRPr="004C396F">
        <w:t>book</w:t>
      </w:r>
      <w:r w:rsidR="00B516F5">
        <w:t xml:space="preserve">cases </w:t>
      </w:r>
      <w:r w:rsidRPr="004C396F">
        <w:t>pose the greatest risk of toppling over</w:t>
      </w:r>
      <w:r w:rsidR="003647E1">
        <w:t xml:space="preserve"> and causing</w:t>
      </w:r>
      <w:r w:rsidR="002715CC" w:rsidRPr="004C396F">
        <w:t xml:space="preserve"> </w:t>
      </w:r>
      <w:r w:rsidRPr="004C396F">
        <w:t>injur</w:t>
      </w:r>
      <w:r w:rsidR="002715CC" w:rsidRPr="004C396F">
        <w:t>y</w:t>
      </w:r>
      <w:r w:rsidR="008866C0" w:rsidRPr="004C396F">
        <w:t xml:space="preserve"> or death</w:t>
      </w:r>
      <w:r w:rsidR="0095399E">
        <w:t>.</w:t>
      </w:r>
      <w:r w:rsidR="009B3590">
        <w:t xml:space="preserve"> </w:t>
      </w:r>
      <w:r w:rsidR="00A56D95">
        <w:t>C</w:t>
      </w:r>
      <w:r w:rsidR="00A56D95" w:rsidRPr="004C396F">
        <w:t xml:space="preserve">hildren </w:t>
      </w:r>
      <w:r w:rsidR="00A56D95">
        <w:t>aged up to 4</w:t>
      </w:r>
      <w:r w:rsidR="00A56D95" w:rsidRPr="004C396F">
        <w:t xml:space="preserve"> years </w:t>
      </w:r>
      <w:r w:rsidR="00A56D95">
        <w:t>are</w:t>
      </w:r>
      <w:r w:rsidR="00A56D95" w:rsidRPr="004C396F">
        <w:t xml:space="preserve"> most at risk</w:t>
      </w:r>
      <w:r w:rsidR="00A56D95">
        <w:t>, with older Australians also vulnerable</w:t>
      </w:r>
      <w:r w:rsidR="00A56D95" w:rsidRPr="004C396F">
        <w:t>.</w:t>
      </w:r>
      <w:r w:rsidR="00A56D95">
        <w:t xml:space="preserve"> </w:t>
      </w:r>
      <w:r w:rsidR="007B5532">
        <w:t>Previous</w:t>
      </w:r>
      <w:r w:rsidR="00C41382">
        <w:t xml:space="preserve"> </w:t>
      </w:r>
      <w:r w:rsidR="009B3590">
        <w:t xml:space="preserve">government and industry </w:t>
      </w:r>
      <w:r w:rsidR="00C41382">
        <w:t xml:space="preserve">attempts to address </w:t>
      </w:r>
      <w:r w:rsidR="009B3590">
        <w:t xml:space="preserve">this </w:t>
      </w:r>
      <w:r w:rsidR="00515DC1">
        <w:t>problem</w:t>
      </w:r>
      <w:r w:rsidR="007B5532">
        <w:t xml:space="preserve"> have</w:t>
      </w:r>
      <w:r w:rsidR="00952D2D">
        <w:t xml:space="preserve"> no</w:t>
      </w:r>
      <w:r w:rsidR="00267015">
        <w:t xml:space="preserve">t been successful </w:t>
      </w:r>
      <w:r w:rsidR="006441EE">
        <w:t xml:space="preserve">in reducing </w:t>
      </w:r>
      <w:r w:rsidR="009B3590">
        <w:t>consumer harm</w:t>
      </w:r>
      <w:r w:rsidR="006441EE">
        <w:t xml:space="preserve">. </w:t>
      </w:r>
    </w:p>
    <w:p w14:paraId="1690CFC8" w14:textId="6CFC3190" w:rsidR="00037C1F" w:rsidRDefault="00267015" w:rsidP="00F05000">
      <w:pPr>
        <w:spacing w:before="120"/>
      </w:pPr>
      <w:r>
        <w:t>T</w:t>
      </w:r>
      <w:r w:rsidR="007B5532">
        <w:t>he</w:t>
      </w:r>
      <w:r w:rsidR="0073437F">
        <w:t xml:space="preserve"> ACCC </w:t>
      </w:r>
      <w:r w:rsidR="009B3590">
        <w:t xml:space="preserve">has </w:t>
      </w:r>
      <w:r w:rsidR="0073437F">
        <w:t xml:space="preserve">released two public </w:t>
      </w:r>
      <w:r w:rsidR="007B5532">
        <w:t>consultation papers</w:t>
      </w:r>
      <w:r w:rsidR="0073437F">
        <w:t xml:space="preserve"> seeking feedback on ways to improve storage furniture safety. </w:t>
      </w:r>
      <w:r w:rsidR="00B832E7">
        <w:t>A</w:t>
      </w:r>
      <w:r w:rsidR="003434BC">
        <w:t xml:space="preserve"> wide range of stakeholders</w:t>
      </w:r>
      <w:r w:rsidR="00515DC1">
        <w:t xml:space="preserve"> provided submissions</w:t>
      </w:r>
      <w:r w:rsidR="005815BD">
        <w:t>,</w:t>
      </w:r>
      <w:r w:rsidR="00515DC1">
        <w:t xml:space="preserve"> </w:t>
      </w:r>
      <w:r w:rsidR="009B3590">
        <w:t>which have</w:t>
      </w:r>
      <w:r>
        <w:t xml:space="preserve"> </w:t>
      </w:r>
      <w:r w:rsidR="00515DC1">
        <w:t>i</w:t>
      </w:r>
      <w:r>
        <w:t>nform</w:t>
      </w:r>
      <w:r w:rsidR="009B3590">
        <w:t>ed</w:t>
      </w:r>
      <w:r>
        <w:t xml:space="preserve"> this final recommendation paper</w:t>
      </w:r>
      <w:r w:rsidR="009B3590">
        <w:t xml:space="preserve">. </w:t>
      </w:r>
      <w:r w:rsidR="0078195F">
        <w:t xml:space="preserve">All stakeholders, including retailers and industry representatives, indicated more education and safety information is needed to raise consumer awareness. </w:t>
      </w:r>
      <w:r w:rsidR="00A56D95">
        <w:t>However, many submissions highlighted the complexities in implementing an effective safety standard (including stability and/or anchoring requirements) at this time.</w:t>
      </w:r>
    </w:p>
    <w:p w14:paraId="1520D1CC" w14:textId="54B52664" w:rsidR="003434BC" w:rsidRPr="004C396F" w:rsidRDefault="003434BC" w:rsidP="00CE7CA6">
      <w:r>
        <w:t xml:space="preserve">The ACCC has </w:t>
      </w:r>
      <w:r w:rsidR="00CE6E29">
        <w:t xml:space="preserve">now </w:t>
      </w:r>
      <w:r>
        <w:t xml:space="preserve">refined the options previously presented in the </w:t>
      </w:r>
      <w:hyperlink r:id="rId17" w:history="1">
        <w:r w:rsidRPr="00367070">
          <w:rPr>
            <w:rStyle w:val="Hyperlink"/>
          </w:rPr>
          <w:t>Consultation Regulation Impact Statement (Consultation RIS)</w:t>
        </w:r>
      </w:hyperlink>
      <w:r>
        <w:t>. The revised options are:</w:t>
      </w:r>
    </w:p>
    <w:tbl>
      <w:tblPr>
        <w:tblStyle w:val="TableGrid"/>
        <w:tblW w:w="9214"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9214"/>
      </w:tblGrid>
      <w:tr w:rsidR="003434BC" w:rsidRPr="004C396F" w14:paraId="6DD4D93C" w14:textId="77777777" w:rsidTr="00CC39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271D3C8D" w14:textId="2E44EFDD" w:rsidR="003434BC" w:rsidRPr="0053184E" w:rsidRDefault="003434BC" w:rsidP="00806096">
            <w:pPr>
              <w:pStyle w:val="ListParagraph"/>
              <w:numPr>
                <w:ilvl w:val="0"/>
                <w:numId w:val="49"/>
              </w:numPr>
              <w:rPr>
                <w:sz w:val="22"/>
                <w:szCs w:val="24"/>
              </w:rPr>
            </w:pPr>
            <w:r w:rsidRPr="0053184E">
              <w:rPr>
                <w:bCs/>
                <w:sz w:val="22"/>
                <w:szCs w:val="24"/>
              </w:rPr>
              <w:t>Status quo, no change</w:t>
            </w:r>
            <w:r w:rsidR="00622A07" w:rsidRPr="0053184E">
              <w:rPr>
                <w:bCs/>
                <w:sz w:val="22"/>
                <w:szCs w:val="24"/>
              </w:rPr>
              <w:t>.</w:t>
            </w:r>
          </w:p>
          <w:p w14:paraId="58D77BDA" w14:textId="6B856A31" w:rsidR="0035580A" w:rsidRPr="0053184E" w:rsidRDefault="0035580A" w:rsidP="00806096">
            <w:pPr>
              <w:pStyle w:val="ListParagraph"/>
              <w:numPr>
                <w:ilvl w:val="0"/>
                <w:numId w:val="49"/>
              </w:numPr>
              <w:rPr>
                <w:sz w:val="22"/>
                <w:szCs w:val="24"/>
              </w:rPr>
            </w:pPr>
            <w:r w:rsidRPr="0053184E">
              <w:rPr>
                <w:sz w:val="22"/>
                <w:szCs w:val="24"/>
              </w:rPr>
              <w:t xml:space="preserve">A mandatory </w:t>
            </w:r>
            <w:r w:rsidRPr="00483A1C">
              <w:rPr>
                <w:sz w:val="22"/>
                <w:szCs w:val="28"/>
                <w:u w:val="single"/>
              </w:rPr>
              <w:t>information</w:t>
            </w:r>
            <w:r w:rsidRPr="00483A1C">
              <w:rPr>
                <w:sz w:val="24"/>
                <w:szCs w:val="28"/>
              </w:rPr>
              <w:t xml:space="preserve"> </w:t>
            </w:r>
            <w:r w:rsidRPr="0053184E">
              <w:rPr>
                <w:sz w:val="22"/>
                <w:szCs w:val="24"/>
              </w:rPr>
              <w:t>standard including warning labelling and</w:t>
            </w:r>
            <w:r w:rsidR="00EA34DC">
              <w:rPr>
                <w:sz w:val="22"/>
                <w:szCs w:val="24"/>
              </w:rPr>
              <w:t xml:space="preserve"> the provision of</w:t>
            </w:r>
            <w:r w:rsidRPr="0053184E">
              <w:rPr>
                <w:sz w:val="22"/>
                <w:szCs w:val="24"/>
              </w:rPr>
              <w:t xml:space="preserve"> safety information</w:t>
            </w:r>
            <w:r w:rsidR="00EA34DC">
              <w:rPr>
                <w:sz w:val="22"/>
                <w:szCs w:val="24"/>
              </w:rPr>
              <w:t>, including at point of sale</w:t>
            </w:r>
            <w:r w:rsidR="00DA1C0F">
              <w:rPr>
                <w:sz w:val="22"/>
                <w:szCs w:val="24"/>
              </w:rPr>
              <w:t xml:space="preserve"> (recommended)</w:t>
            </w:r>
            <w:r w:rsidR="00622A07" w:rsidRPr="0053184E">
              <w:rPr>
                <w:sz w:val="22"/>
                <w:szCs w:val="24"/>
              </w:rPr>
              <w:t>.</w:t>
            </w:r>
          </w:p>
          <w:p w14:paraId="1099061C" w14:textId="46FD4059" w:rsidR="003434BC" w:rsidRPr="0053184E" w:rsidRDefault="0035580A" w:rsidP="00806096">
            <w:pPr>
              <w:pStyle w:val="ListParagraph"/>
              <w:numPr>
                <w:ilvl w:val="0"/>
                <w:numId w:val="49"/>
              </w:numPr>
              <w:rPr>
                <w:sz w:val="22"/>
                <w:szCs w:val="24"/>
              </w:rPr>
            </w:pPr>
            <w:r w:rsidRPr="0053184E">
              <w:rPr>
                <w:sz w:val="22"/>
                <w:szCs w:val="24"/>
              </w:rPr>
              <w:t xml:space="preserve">A mandatory </w:t>
            </w:r>
            <w:r w:rsidRPr="00483A1C">
              <w:rPr>
                <w:sz w:val="22"/>
                <w:szCs w:val="28"/>
                <w:u w:val="single"/>
              </w:rPr>
              <w:t>safety</w:t>
            </w:r>
            <w:r w:rsidRPr="00483A1C">
              <w:rPr>
                <w:sz w:val="24"/>
                <w:szCs w:val="28"/>
              </w:rPr>
              <w:t xml:space="preserve"> </w:t>
            </w:r>
            <w:r w:rsidRPr="0053184E">
              <w:rPr>
                <w:sz w:val="22"/>
                <w:szCs w:val="24"/>
              </w:rPr>
              <w:t>standard including warning labelling and</w:t>
            </w:r>
            <w:r w:rsidR="00EA34DC">
              <w:rPr>
                <w:sz w:val="22"/>
                <w:szCs w:val="24"/>
              </w:rPr>
              <w:t xml:space="preserve"> the provision</w:t>
            </w:r>
            <w:r w:rsidRPr="0053184E">
              <w:rPr>
                <w:sz w:val="22"/>
                <w:szCs w:val="24"/>
              </w:rPr>
              <w:t xml:space="preserve"> safety information</w:t>
            </w:r>
            <w:r w:rsidR="00EA34DC">
              <w:rPr>
                <w:sz w:val="22"/>
                <w:szCs w:val="24"/>
              </w:rPr>
              <w:t xml:space="preserve"> with the product</w:t>
            </w:r>
            <w:r w:rsidRPr="0053184E">
              <w:rPr>
                <w:sz w:val="22"/>
                <w:szCs w:val="24"/>
              </w:rPr>
              <w:t>, and stability and anchoring requirements</w:t>
            </w:r>
            <w:r w:rsidR="00622A07" w:rsidRPr="0053184E">
              <w:rPr>
                <w:sz w:val="22"/>
                <w:szCs w:val="24"/>
              </w:rPr>
              <w:t>.</w:t>
            </w:r>
            <w:r w:rsidR="000D044C" w:rsidRPr="0053184E">
              <w:rPr>
                <w:sz w:val="22"/>
                <w:szCs w:val="24"/>
              </w:rPr>
              <w:t xml:space="preserve"> </w:t>
            </w:r>
          </w:p>
          <w:p w14:paraId="598C137F" w14:textId="2649CBF6" w:rsidR="003434BC" w:rsidRPr="000D044C" w:rsidRDefault="003434BC" w:rsidP="00806096">
            <w:pPr>
              <w:pStyle w:val="ListParagraph"/>
              <w:numPr>
                <w:ilvl w:val="0"/>
                <w:numId w:val="49"/>
              </w:numPr>
              <w:rPr>
                <w:color w:val="000000" w:themeColor="text1"/>
              </w:rPr>
            </w:pPr>
            <w:r w:rsidRPr="0053184E">
              <w:rPr>
                <w:sz w:val="22"/>
                <w:szCs w:val="24"/>
              </w:rPr>
              <w:t xml:space="preserve">A mandatory </w:t>
            </w:r>
            <w:r w:rsidRPr="00483A1C">
              <w:rPr>
                <w:sz w:val="22"/>
                <w:szCs w:val="28"/>
                <w:u w:val="single"/>
              </w:rPr>
              <w:t>safety</w:t>
            </w:r>
            <w:r w:rsidRPr="00483A1C">
              <w:rPr>
                <w:sz w:val="24"/>
                <w:szCs w:val="28"/>
              </w:rPr>
              <w:t xml:space="preserve"> </w:t>
            </w:r>
            <w:r w:rsidRPr="0053184E">
              <w:rPr>
                <w:sz w:val="22"/>
                <w:szCs w:val="24"/>
              </w:rPr>
              <w:t xml:space="preserve">standard and a mandatory </w:t>
            </w:r>
            <w:r w:rsidRPr="00483A1C">
              <w:rPr>
                <w:sz w:val="22"/>
                <w:szCs w:val="28"/>
                <w:u w:val="single"/>
              </w:rPr>
              <w:t>information</w:t>
            </w:r>
            <w:r w:rsidRPr="00483A1C">
              <w:rPr>
                <w:sz w:val="24"/>
                <w:szCs w:val="28"/>
              </w:rPr>
              <w:t xml:space="preserve"> </w:t>
            </w:r>
            <w:r w:rsidRPr="0053184E">
              <w:rPr>
                <w:sz w:val="22"/>
                <w:szCs w:val="24"/>
              </w:rPr>
              <w:t>standard (combination of Option 2 and Option 3)</w:t>
            </w:r>
            <w:r w:rsidR="00622A07" w:rsidRPr="0053184E">
              <w:rPr>
                <w:sz w:val="22"/>
                <w:szCs w:val="24"/>
              </w:rPr>
              <w:t>.</w:t>
            </w:r>
            <w:r w:rsidRPr="0053184E">
              <w:rPr>
                <w:sz w:val="28"/>
                <w:szCs w:val="28"/>
              </w:rPr>
              <w:t xml:space="preserve"> </w:t>
            </w:r>
          </w:p>
        </w:tc>
      </w:tr>
    </w:tbl>
    <w:p w14:paraId="0EF6A065" w14:textId="33A0F04C" w:rsidR="00DA1C0F" w:rsidRDefault="00866509" w:rsidP="00DA1C0F">
      <w:r>
        <w:t xml:space="preserve">The ACCC </w:t>
      </w:r>
      <w:r w:rsidR="00267015">
        <w:t>recommends</w:t>
      </w:r>
      <w:r w:rsidR="005D22D6">
        <w:t xml:space="preserve"> </w:t>
      </w:r>
      <w:r w:rsidR="0068319A">
        <w:t xml:space="preserve">the Minister make </w:t>
      </w:r>
      <w:r>
        <w:t xml:space="preserve">a mandatory information </w:t>
      </w:r>
      <w:r w:rsidR="00234C69">
        <w:t>standard</w:t>
      </w:r>
      <w:r w:rsidR="0068319A">
        <w:t xml:space="preserve"> for toppling furniture</w:t>
      </w:r>
      <w:r w:rsidR="00CE6E29">
        <w:t xml:space="preserve"> (</w:t>
      </w:r>
      <w:r w:rsidR="002B4E48">
        <w:t>O</w:t>
      </w:r>
      <w:r w:rsidR="00CE6E29">
        <w:t>ption 2)</w:t>
      </w:r>
      <w:r w:rsidR="00546B6A">
        <w:t>.</w:t>
      </w:r>
      <w:r w:rsidR="007A6AAB" w:rsidDel="007A6AAB">
        <w:t xml:space="preserve"> </w:t>
      </w:r>
    </w:p>
    <w:p w14:paraId="51BFAE74" w14:textId="56B68DF9" w:rsidR="00866509" w:rsidRDefault="00916F6D" w:rsidP="00866509">
      <w:r>
        <w:t>The ACCC recommends a</w:t>
      </w:r>
      <w:r w:rsidR="00866509">
        <w:t xml:space="preserve"> mandatory information standard </w:t>
      </w:r>
      <w:r>
        <w:t>to</w:t>
      </w:r>
      <w:r w:rsidR="00EE6E96">
        <w:t xml:space="preserve"> commence 12 months after registration</w:t>
      </w:r>
      <w:r w:rsidR="00AB2B22">
        <w:t xml:space="preserve"> of the instrument to allow a transition period</w:t>
      </w:r>
      <w:r>
        <w:t xml:space="preserve"> for suppliers</w:t>
      </w:r>
      <w:r w:rsidR="00866509">
        <w:t xml:space="preserve">. </w:t>
      </w:r>
    </w:p>
    <w:p w14:paraId="0E05990B" w14:textId="35221FF9" w:rsidR="00866509" w:rsidRDefault="00866509" w:rsidP="00866509">
      <w:pPr>
        <w:spacing w:before="120"/>
      </w:pPr>
      <w:r w:rsidRPr="003B0D28">
        <w:t xml:space="preserve">The ACCC </w:t>
      </w:r>
      <w:r>
        <w:t>considers that a</w:t>
      </w:r>
      <w:r w:rsidR="002B4E48">
        <w:t xml:space="preserve"> mandatory</w:t>
      </w:r>
      <w:r>
        <w:t xml:space="preserve"> information standard will improve safety outcomes for freestanding storage furniture by:</w:t>
      </w:r>
    </w:p>
    <w:p w14:paraId="07CCF4B2" w14:textId="631D3A02" w:rsidR="00866509" w:rsidRPr="003B0D28" w:rsidRDefault="00866509" w:rsidP="00806096">
      <w:pPr>
        <w:pStyle w:val="ListParagraph"/>
        <w:numPr>
          <w:ilvl w:val="0"/>
          <w:numId w:val="42"/>
        </w:numPr>
      </w:pPr>
      <w:r>
        <w:t>e</w:t>
      </w:r>
      <w:r w:rsidRPr="003B0D28">
        <w:t>ducating consumers on</w:t>
      </w:r>
      <w:r>
        <w:t xml:space="preserve"> risks,</w:t>
      </w:r>
      <w:r w:rsidRPr="003B0D28">
        <w:t xml:space="preserve"> safe </w:t>
      </w:r>
      <w:r w:rsidR="00163616">
        <w:t xml:space="preserve">furniture </w:t>
      </w:r>
      <w:r w:rsidRPr="003B0D28">
        <w:t>use</w:t>
      </w:r>
      <w:r w:rsidR="00DD1849">
        <w:t>,</w:t>
      </w:r>
      <w:r w:rsidRPr="003B0D28">
        <w:t xml:space="preserve"> and </w:t>
      </w:r>
      <w:r w:rsidR="00DD1849">
        <w:t>effective</w:t>
      </w:r>
      <w:r w:rsidR="00DD1849" w:rsidRPr="003B0D28">
        <w:t xml:space="preserve"> </w:t>
      </w:r>
      <w:r w:rsidRPr="003B0D28">
        <w:t xml:space="preserve">anchoring </w:t>
      </w:r>
      <w:r w:rsidR="00163616">
        <w:t>strategies</w:t>
      </w:r>
      <w:r w:rsidR="00163616" w:rsidRPr="003B0D28">
        <w:t xml:space="preserve"> </w:t>
      </w:r>
      <w:r w:rsidRPr="003B0D28">
        <w:t>through affixed permanent warning labels</w:t>
      </w:r>
    </w:p>
    <w:p w14:paraId="5CD3FEE5" w14:textId="1228F81F" w:rsidR="00866509" w:rsidRDefault="00866509" w:rsidP="00806096">
      <w:pPr>
        <w:pStyle w:val="ListParagraph"/>
        <w:numPr>
          <w:ilvl w:val="0"/>
          <w:numId w:val="42"/>
        </w:numPr>
      </w:pPr>
      <w:r>
        <w:t>providing m</w:t>
      </w:r>
      <w:r w:rsidRPr="008D0205">
        <w:t xml:space="preserve">andatory instore warnings such as hang tags and placards </w:t>
      </w:r>
      <w:r>
        <w:t>to raise awareness at point of sale</w:t>
      </w:r>
    </w:p>
    <w:p w14:paraId="4BE673CD" w14:textId="780411F0" w:rsidR="00866509" w:rsidRPr="003B0D28" w:rsidRDefault="00866509" w:rsidP="00806096">
      <w:pPr>
        <w:pStyle w:val="ListParagraph"/>
        <w:numPr>
          <w:ilvl w:val="0"/>
          <w:numId w:val="42"/>
        </w:numPr>
      </w:pPr>
      <w:r>
        <w:t>s</w:t>
      </w:r>
      <w:r w:rsidRPr="003B0D28">
        <w:t>upporting information equity with the use of clear graphic warnings and plain</w:t>
      </w:r>
      <w:r>
        <w:t xml:space="preserve"> E</w:t>
      </w:r>
      <w:r w:rsidRPr="003B0D28">
        <w:t>nglish</w:t>
      </w:r>
    </w:p>
    <w:p w14:paraId="3398662F" w14:textId="51B0028D" w:rsidR="006A6DDB" w:rsidRDefault="00866509" w:rsidP="00C75A21">
      <w:pPr>
        <w:spacing w:before="120"/>
      </w:pPr>
      <w:r>
        <w:t xml:space="preserve">Because this option is limited to providing information and does not require furniture design changes, </w:t>
      </w:r>
      <w:r w:rsidR="00E82B93">
        <w:t>we anticipate it</w:t>
      </w:r>
      <w:r>
        <w:t xml:space="preserve"> will cause minimal disruption to the market.</w:t>
      </w:r>
    </w:p>
    <w:p w14:paraId="778CA508" w14:textId="4B252792" w:rsidR="00916F6D" w:rsidRDefault="00916F6D">
      <w:r>
        <w:t>The ACCC will complement this regulatory option with an education campaign</w:t>
      </w:r>
      <w:r w:rsidR="00166EBD">
        <w:t xml:space="preserve"> during the transition period for the </w:t>
      </w:r>
      <w:r w:rsidR="002B4E48">
        <w:t xml:space="preserve">mandatory </w:t>
      </w:r>
      <w:r w:rsidR="00166EBD">
        <w:t>information standard, to raise awareness of the dangers of toppling furniture and provide tools and advice on anchoring furniture</w:t>
      </w:r>
      <w:r>
        <w:t xml:space="preserve">. </w:t>
      </w:r>
      <w:r w:rsidR="002B4E48">
        <w:t xml:space="preserve">The ACCC anticipates </w:t>
      </w:r>
      <w:r>
        <w:t xml:space="preserve">a mandatory information standard and consumer education campaign will address toppling furniture risks in a timely and wide-reaching manner. </w:t>
      </w:r>
    </w:p>
    <w:p w14:paraId="5B59B8DA" w14:textId="4E009E71" w:rsidR="00CD73BB" w:rsidRDefault="006A6DDB">
      <w:r w:rsidRPr="00692F7A">
        <w:t>It is acknowledged that</w:t>
      </w:r>
      <w:r w:rsidR="00AB2B22">
        <w:t xml:space="preserve"> a mandatory safety standard as set out in</w:t>
      </w:r>
      <w:r w:rsidRPr="00692F7A">
        <w:t xml:space="preserve"> Options 3 and 4 </w:t>
      </w:r>
      <w:r w:rsidR="00AB2B22">
        <w:t>would</w:t>
      </w:r>
      <w:r w:rsidRPr="00692F7A">
        <w:t xml:space="preserve"> more comprehensive</w:t>
      </w:r>
      <w:r w:rsidR="00AB2B22">
        <w:t>ly</w:t>
      </w:r>
      <w:r w:rsidRPr="00692F7A">
        <w:t xml:space="preserve"> address </w:t>
      </w:r>
      <w:r w:rsidR="00AB2B22">
        <w:t>risks associated with toppling furniture</w:t>
      </w:r>
      <w:r w:rsidR="00F13FF1">
        <w:t>. However</w:t>
      </w:r>
      <w:r w:rsidR="0002432D">
        <w:t xml:space="preserve">, </w:t>
      </w:r>
      <w:r w:rsidR="00254672">
        <w:t xml:space="preserve">these options rely on </w:t>
      </w:r>
      <w:r w:rsidR="00A07ADE">
        <w:t>referring to suitable stability requirements as set out in a</w:t>
      </w:r>
      <w:r w:rsidR="00ED3E2C">
        <w:t>n existing</w:t>
      </w:r>
      <w:r w:rsidR="004B65AE">
        <w:t xml:space="preserve"> voluntary</w:t>
      </w:r>
      <w:r w:rsidR="00254672">
        <w:t xml:space="preserve"> standard</w:t>
      </w:r>
      <w:r w:rsidR="005744FE">
        <w:t>,</w:t>
      </w:r>
      <w:r w:rsidR="00AB2B22">
        <w:t xml:space="preserve"> or </w:t>
      </w:r>
      <w:r w:rsidR="00542A19">
        <w:t>independent</w:t>
      </w:r>
      <w:r w:rsidR="00A07ADE">
        <w:t>ly</w:t>
      </w:r>
      <w:r w:rsidR="00CD73BB">
        <w:t xml:space="preserve"> </w:t>
      </w:r>
      <w:r w:rsidR="00ED3E2C">
        <w:t>developing and testing new requirements</w:t>
      </w:r>
      <w:r w:rsidR="00254672">
        <w:t xml:space="preserve">. </w:t>
      </w:r>
    </w:p>
    <w:p w14:paraId="6F5BF492" w14:textId="36E49FAB" w:rsidR="006A6DDB" w:rsidRPr="00692F7A" w:rsidRDefault="00254672" w:rsidP="00C75A21">
      <w:r>
        <w:t>T</w:t>
      </w:r>
      <w:r w:rsidR="006A6DDB" w:rsidRPr="00692F7A">
        <w:t xml:space="preserve">he Australian and New Zealand voluntary standard (AS/NZS 4935:2009), and the American standard (ASTM F2057-19), are currently under review and it is likely their stability test requirements will change. </w:t>
      </w:r>
      <w:r w:rsidR="00571333">
        <w:t>Waiting for these standards to be introduced (and then assessing their suitability</w:t>
      </w:r>
      <w:r w:rsidR="005437EB">
        <w:t>),</w:t>
      </w:r>
      <w:r w:rsidR="00525A9F">
        <w:t xml:space="preserve"> </w:t>
      </w:r>
      <w:r w:rsidR="005437EB">
        <w:t>or</w:t>
      </w:r>
      <w:r w:rsidR="00A84E1F">
        <w:t xml:space="preserve"> undertaking </w:t>
      </w:r>
      <w:r w:rsidR="00571333">
        <w:t xml:space="preserve">independent </w:t>
      </w:r>
      <w:r w:rsidR="00A84E1F">
        <w:t>research to develop a suitable stability requirement</w:t>
      </w:r>
      <w:r w:rsidR="00571333">
        <w:t>,</w:t>
      </w:r>
      <w:r w:rsidR="00A84E1F">
        <w:t xml:space="preserve"> </w:t>
      </w:r>
      <w:r w:rsidR="00DD22B0">
        <w:t>would take</w:t>
      </w:r>
      <w:r w:rsidR="00A84E1F">
        <w:t xml:space="preserve"> </w:t>
      </w:r>
      <w:r w:rsidR="004B65AE">
        <w:t xml:space="preserve">significant </w:t>
      </w:r>
      <w:r w:rsidR="00DD22B0">
        <w:t>time</w:t>
      </w:r>
      <w:r w:rsidR="00A84E1F">
        <w:t xml:space="preserve">. </w:t>
      </w:r>
      <w:r w:rsidR="004B65AE">
        <w:t>This</w:t>
      </w:r>
      <w:r w:rsidR="00DD22B0">
        <w:t xml:space="preserve"> could cause confusion and burden for industry</w:t>
      </w:r>
      <w:r w:rsidR="004B65AE">
        <w:t xml:space="preserve"> as well as</w:t>
      </w:r>
      <w:r w:rsidR="00E06F09">
        <w:t xml:space="preserve"> duplicate </w:t>
      </w:r>
      <w:r w:rsidR="004B65AE">
        <w:t xml:space="preserve">the efforts of </w:t>
      </w:r>
      <w:r w:rsidR="00571333">
        <w:t xml:space="preserve">other </w:t>
      </w:r>
      <w:r w:rsidR="004B65AE">
        <w:t>standards committees.</w:t>
      </w:r>
    </w:p>
    <w:p w14:paraId="35C27EE0" w14:textId="717050C1" w:rsidR="006A6DDB" w:rsidRPr="00692F7A" w:rsidRDefault="00CD73BB" w:rsidP="00C75A21">
      <w:r>
        <w:t>For these reasons, t</w:t>
      </w:r>
      <w:r w:rsidR="006A6DDB" w:rsidRPr="00692F7A">
        <w:t>he ACCC</w:t>
      </w:r>
      <w:r>
        <w:t xml:space="preserve"> does not recommend the introduction of a mandatory safety standard at this time, however,</w:t>
      </w:r>
      <w:r w:rsidR="006A6DDB" w:rsidRPr="00692F7A">
        <w:t xml:space="preserve"> recognises it may be appropriate to revisit following the publication of any relevant new or revised</w:t>
      </w:r>
      <w:r w:rsidR="004B65AE">
        <w:t xml:space="preserve"> voluntary</w:t>
      </w:r>
      <w:r w:rsidR="006A6DDB" w:rsidRPr="00692F7A">
        <w:t xml:space="preserve"> standard</w:t>
      </w:r>
      <w:r w:rsidR="00772DFC">
        <w:t xml:space="preserve"> in the future</w:t>
      </w:r>
      <w:r w:rsidR="006A6DDB" w:rsidRPr="00692F7A">
        <w:t xml:space="preserve">. </w:t>
      </w:r>
    </w:p>
    <w:p w14:paraId="0E10FE7D" w14:textId="77777777" w:rsidR="006A6DDB" w:rsidRDefault="006A6DDB" w:rsidP="00866509">
      <w:pPr>
        <w:spacing w:before="120"/>
      </w:pPr>
    </w:p>
    <w:p w14:paraId="03687F6C" w14:textId="764783C6" w:rsidR="009220B5" w:rsidRDefault="009220B5">
      <w:pPr>
        <w:rPr>
          <w:strike/>
          <w:sz w:val="32"/>
          <w:szCs w:val="24"/>
        </w:rPr>
      </w:pPr>
      <w:bookmarkStart w:id="105" w:name="_Toc99465960"/>
      <w:bookmarkStart w:id="106" w:name="_Toc99466076"/>
      <w:bookmarkStart w:id="107" w:name="_Toc99466206"/>
      <w:bookmarkStart w:id="108" w:name="_Toc99466336"/>
      <w:bookmarkStart w:id="109" w:name="_Toc99466451"/>
      <w:bookmarkStart w:id="110" w:name="_Toc99465961"/>
      <w:bookmarkStart w:id="111" w:name="_Toc99466077"/>
      <w:bookmarkStart w:id="112" w:name="_Toc99466207"/>
      <w:bookmarkStart w:id="113" w:name="_Toc99466337"/>
      <w:bookmarkStart w:id="114" w:name="_Toc99466452"/>
      <w:bookmarkStart w:id="115" w:name="_Toc99465962"/>
      <w:bookmarkStart w:id="116" w:name="_Toc99466078"/>
      <w:bookmarkStart w:id="117" w:name="_Toc99466208"/>
      <w:bookmarkStart w:id="118" w:name="_Toc99466338"/>
      <w:bookmarkStart w:id="119" w:name="_Toc99466453"/>
      <w:bookmarkStart w:id="120" w:name="_Toc99465963"/>
      <w:bookmarkStart w:id="121" w:name="_Toc99466079"/>
      <w:bookmarkStart w:id="122" w:name="_Toc99466209"/>
      <w:bookmarkStart w:id="123" w:name="_Toc99466339"/>
      <w:bookmarkStart w:id="124" w:name="_Toc99466454"/>
      <w:bookmarkStart w:id="125" w:name="_Toc99465964"/>
      <w:bookmarkStart w:id="126" w:name="_Toc99466080"/>
      <w:bookmarkStart w:id="127" w:name="_Toc99466210"/>
      <w:bookmarkStart w:id="128" w:name="_Toc99466340"/>
      <w:bookmarkStart w:id="129" w:name="_Toc99466455"/>
      <w:bookmarkStart w:id="130" w:name="_Toc99465965"/>
      <w:bookmarkStart w:id="131" w:name="_Toc99466081"/>
      <w:bookmarkStart w:id="132" w:name="_Toc99466211"/>
      <w:bookmarkStart w:id="133" w:name="_Toc99466341"/>
      <w:bookmarkStart w:id="134" w:name="_Toc99466456"/>
      <w:bookmarkStart w:id="135" w:name="_Toc99465966"/>
      <w:bookmarkStart w:id="136" w:name="_Toc99466082"/>
      <w:bookmarkStart w:id="137" w:name="_Toc99466212"/>
      <w:bookmarkStart w:id="138" w:name="_Toc99466342"/>
      <w:bookmarkStart w:id="139" w:name="_Toc99466457"/>
      <w:bookmarkStart w:id="140" w:name="_Toc99465967"/>
      <w:bookmarkStart w:id="141" w:name="_Toc99466083"/>
      <w:bookmarkStart w:id="142" w:name="_Toc99466213"/>
      <w:bookmarkStart w:id="143" w:name="_Toc99466343"/>
      <w:bookmarkStart w:id="144" w:name="_Toc99466458"/>
      <w:bookmarkStart w:id="145" w:name="_Toc99465968"/>
      <w:bookmarkStart w:id="146" w:name="_Toc99466084"/>
      <w:bookmarkStart w:id="147" w:name="_Toc99466214"/>
      <w:bookmarkStart w:id="148" w:name="_Toc99466344"/>
      <w:bookmarkStart w:id="149" w:name="_Toc99466459"/>
      <w:bookmarkStart w:id="150" w:name="_Toc99465969"/>
      <w:bookmarkStart w:id="151" w:name="_Toc99466085"/>
      <w:bookmarkStart w:id="152" w:name="_Toc99466215"/>
      <w:bookmarkStart w:id="153" w:name="_Toc99466345"/>
      <w:bookmarkStart w:id="154" w:name="_Toc99466460"/>
      <w:bookmarkStart w:id="155" w:name="_Toc99465970"/>
      <w:bookmarkStart w:id="156" w:name="_Toc99466086"/>
      <w:bookmarkStart w:id="157" w:name="_Toc99466216"/>
      <w:bookmarkStart w:id="158" w:name="_Toc99466346"/>
      <w:bookmarkStart w:id="159" w:name="_Toc99466461"/>
      <w:bookmarkStart w:id="160" w:name="_Toc99465971"/>
      <w:bookmarkStart w:id="161" w:name="_Toc99466087"/>
      <w:bookmarkStart w:id="162" w:name="_Toc99466217"/>
      <w:bookmarkStart w:id="163" w:name="_Toc99466347"/>
      <w:bookmarkStart w:id="164" w:name="_Toc99466462"/>
      <w:bookmarkStart w:id="165" w:name="_Toc99465972"/>
      <w:bookmarkStart w:id="166" w:name="_Toc99466088"/>
      <w:bookmarkStart w:id="167" w:name="_Toc99466218"/>
      <w:bookmarkStart w:id="168" w:name="_Toc99466348"/>
      <w:bookmarkStart w:id="169" w:name="_Toc99466463"/>
      <w:bookmarkStart w:id="170" w:name="_Toc99465973"/>
      <w:bookmarkStart w:id="171" w:name="_Toc99466089"/>
      <w:bookmarkStart w:id="172" w:name="_Toc99466219"/>
      <w:bookmarkStart w:id="173" w:name="_Toc99466349"/>
      <w:bookmarkStart w:id="174" w:name="_Toc99466464"/>
      <w:bookmarkStart w:id="175" w:name="_Toc99465974"/>
      <w:bookmarkStart w:id="176" w:name="_Toc99466090"/>
      <w:bookmarkStart w:id="177" w:name="_Toc99466220"/>
      <w:bookmarkStart w:id="178" w:name="_Toc99466350"/>
      <w:bookmarkStart w:id="179" w:name="_Toc99466465"/>
      <w:bookmarkStart w:id="180" w:name="_Toc99465975"/>
      <w:bookmarkStart w:id="181" w:name="_Toc99466091"/>
      <w:bookmarkStart w:id="182" w:name="_Toc99466221"/>
      <w:bookmarkStart w:id="183" w:name="_Toc99466351"/>
      <w:bookmarkStart w:id="184" w:name="_Toc99466466"/>
      <w:bookmarkStart w:id="185" w:name="_Toc99465976"/>
      <w:bookmarkStart w:id="186" w:name="_Toc99466092"/>
      <w:bookmarkStart w:id="187" w:name="_Toc99466222"/>
      <w:bookmarkStart w:id="188" w:name="_Toc99466352"/>
      <w:bookmarkStart w:id="189" w:name="_Toc99466467"/>
      <w:bookmarkStart w:id="190" w:name="_Toc99465977"/>
      <w:bookmarkStart w:id="191" w:name="_Toc99466093"/>
      <w:bookmarkStart w:id="192" w:name="_Toc99466223"/>
      <w:bookmarkStart w:id="193" w:name="_Toc99466353"/>
      <w:bookmarkStart w:id="194" w:name="_Toc99466468"/>
      <w:bookmarkStart w:id="195" w:name="_Toc99465978"/>
      <w:bookmarkStart w:id="196" w:name="_Toc99466094"/>
      <w:bookmarkStart w:id="197" w:name="_Toc99466224"/>
      <w:bookmarkStart w:id="198" w:name="_Toc99466354"/>
      <w:bookmarkStart w:id="199" w:name="_Toc99466469"/>
      <w:bookmarkStart w:id="200" w:name="_Toc99465979"/>
      <w:bookmarkStart w:id="201" w:name="_Toc99466095"/>
      <w:bookmarkStart w:id="202" w:name="_Toc99466225"/>
      <w:bookmarkStart w:id="203" w:name="_Toc99466355"/>
      <w:bookmarkStart w:id="204" w:name="_Toc99466470"/>
      <w:bookmarkStart w:id="205" w:name="_Toc99465980"/>
      <w:bookmarkStart w:id="206" w:name="_Toc99466096"/>
      <w:bookmarkStart w:id="207" w:name="_Toc99466226"/>
      <w:bookmarkStart w:id="208" w:name="_Toc99466356"/>
      <w:bookmarkStart w:id="209" w:name="_Toc99466471"/>
      <w:bookmarkStart w:id="210" w:name="_Toc9946622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strike/>
          <w:sz w:val="32"/>
          <w:szCs w:val="24"/>
        </w:rPr>
        <w:br w:type="page"/>
      </w:r>
    </w:p>
    <w:p w14:paraId="4EDF2831" w14:textId="1E1E919F" w:rsidR="006178AF" w:rsidRDefault="00276441" w:rsidP="009220B5">
      <w:pPr>
        <w:pStyle w:val="Numbered1"/>
      </w:pPr>
      <w:bookmarkStart w:id="211" w:name="_Toc117242774"/>
      <w:bookmarkStart w:id="212" w:name="_Toc117243044"/>
      <w:bookmarkStart w:id="213" w:name="_Toc117263804"/>
      <w:bookmarkStart w:id="214" w:name="_Toc117264003"/>
      <w:bookmarkStart w:id="215" w:name="_Toc117264093"/>
      <w:bookmarkStart w:id="216" w:name="_Toc117264244"/>
      <w:bookmarkStart w:id="217" w:name="_Toc117264896"/>
      <w:bookmarkStart w:id="218" w:name="_Toc117264967"/>
      <w:bookmarkStart w:id="219" w:name="_Toc99465983"/>
      <w:bookmarkStart w:id="220" w:name="_Toc99466099"/>
      <w:bookmarkStart w:id="221" w:name="_Toc99466229"/>
      <w:bookmarkStart w:id="222" w:name="_Toc99466359"/>
      <w:bookmarkStart w:id="223" w:name="_Toc99466474"/>
      <w:bookmarkStart w:id="224" w:name="_Toc99465984"/>
      <w:bookmarkStart w:id="225" w:name="_Toc99466100"/>
      <w:bookmarkStart w:id="226" w:name="_Toc99466230"/>
      <w:bookmarkStart w:id="227" w:name="_Toc99466360"/>
      <w:bookmarkStart w:id="228" w:name="_Toc99466475"/>
      <w:bookmarkStart w:id="229" w:name="_Toc99465985"/>
      <w:bookmarkStart w:id="230" w:name="_Toc99466101"/>
      <w:bookmarkStart w:id="231" w:name="_Toc99466231"/>
      <w:bookmarkStart w:id="232" w:name="_Toc99466361"/>
      <w:bookmarkStart w:id="233" w:name="_Toc99466476"/>
      <w:bookmarkStart w:id="234" w:name="_Toc126074100"/>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t>Introduction</w:t>
      </w:r>
      <w:bookmarkEnd w:id="234"/>
    </w:p>
    <w:p w14:paraId="13B7B58D" w14:textId="07101A11" w:rsidR="000A2F1D" w:rsidRDefault="00F93CF3" w:rsidP="00BF02D5">
      <w:pPr>
        <w:autoSpaceDE w:val="0"/>
        <w:autoSpaceDN w:val="0"/>
        <w:adjustRightInd w:val="0"/>
        <w:spacing w:before="120" w:line="240" w:lineRule="exact"/>
        <w:rPr>
          <w:rFonts w:asciiTheme="minorHAnsi" w:hAnsiTheme="minorHAnsi" w:cstheme="minorHAnsi"/>
          <w:color w:val="000000"/>
        </w:rPr>
      </w:pPr>
      <w:r>
        <w:rPr>
          <w:rFonts w:asciiTheme="minorHAnsi" w:hAnsiTheme="minorHAnsi" w:cstheme="minorHAnsi"/>
        </w:rPr>
        <w:t>Mandatory i</w:t>
      </w:r>
      <w:r w:rsidR="000A2F1D" w:rsidRPr="000A2F1D">
        <w:rPr>
          <w:rFonts w:asciiTheme="minorHAnsi" w:hAnsiTheme="minorHAnsi" w:cstheme="minorHAnsi"/>
          <w:color w:val="000000"/>
        </w:rPr>
        <w:t xml:space="preserve">nformation standards provide a set of rules for specific information which must be provided with goods or services. This information is usually provided with products </w:t>
      </w:r>
      <w:r w:rsidR="000A2F1D">
        <w:rPr>
          <w:rFonts w:asciiTheme="minorHAnsi" w:hAnsiTheme="minorHAnsi" w:cstheme="minorHAnsi"/>
          <w:color w:val="000000"/>
        </w:rPr>
        <w:t>as a</w:t>
      </w:r>
      <w:r w:rsidR="000A2F1D" w:rsidRPr="000A2F1D">
        <w:rPr>
          <w:rFonts w:asciiTheme="minorHAnsi" w:hAnsiTheme="minorHAnsi" w:cstheme="minorHAnsi"/>
          <w:color w:val="000000"/>
        </w:rPr>
        <w:t xml:space="preserve"> warning or information label</w:t>
      </w:r>
      <w:r w:rsidR="00485DE9">
        <w:rPr>
          <w:rFonts w:asciiTheme="minorHAnsi" w:hAnsiTheme="minorHAnsi" w:cstheme="minorHAnsi"/>
          <w:color w:val="000000"/>
        </w:rPr>
        <w:t xml:space="preserve"> </w:t>
      </w:r>
      <w:r w:rsidR="006326A9">
        <w:rPr>
          <w:rFonts w:asciiTheme="minorHAnsi" w:hAnsiTheme="minorHAnsi" w:cstheme="minorHAnsi"/>
          <w:color w:val="000000"/>
        </w:rPr>
        <w:t>(</w:t>
      </w:r>
      <w:r w:rsidR="00485DE9">
        <w:rPr>
          <w:rFonts w:asciiTheme="minorHAnsi" w:hAnsiTheme="minorHAnsi" w:cstheme="minorHAnsi"/>
          <w:color w:val="000000"/>
        </w:rPr>
        <w:t xml:space="preserve">supplied </w:t>
      </w:r>
      <w:r w:rsidR="006326A9">
        <w:rPr>
          <w:rFonts w:asciiTheme="minorHAnsi" w:hAnsiTheme="minorHAnsi" w:cstheme="minorHAnsi"/>
          <w:color w:val="000000"/>
        </w:rPr>
        <w:t xml:space="preserve">with </w:t>
      </w:r>
      <w:r w:rsidR="00485DE9">
        <w:rPr>
          <w:rFonts w:asciiTheme="minorHAnsi" w:hAnsiTheme="minorHAnsi" w:cstheme="minorHAnsi"/>
          <w:color w:val="000000"/>
        </w:rPr>
        <w:t>or</w:t>
      </w:r>
      <w:r w:rsidR="000A2F1D" w:rsidRPr="000A2F1D">
        <w:rPr>
          <w:rFonts w:asciiTheme="minorHAnsi" w:hAnsiTheme="minorHAnsi" w:cstheme="minorHAnsi"/>
          <w:color w:val="000000"/>
        </w:rPr>
        <w:t xml:space="preserve"> attached </w:t>
      </w:r>
      <w:r w:rsidR="00485DE9">
        <w:rPr>
          <w:rFonts w:asciiTheme="minorHAnsi" w:hAnsiTheme="minorHAnsi" w:cstheme="minorHAnsi"/>
          <w:color w:val="000000"/>
        </w:rPr>
        <w:t xml:space="preserve">to </w:t>
      </w:r>
      <w:r w:rsidR="000A2F1D" w:rsidRPr="000A2F1D">
        <w:rPr>
          <w:rFonts w:asciiTheme="minorHAnsi" w:hAnsiTheme="minorHAnsi" w:cstheme="minorHAnsi"/>
          <w:color w:val="000000"/>
        </w:rPr>
        <w:t xml:space="preserve">a </w:t>
      </w:r>
      <w:r w:rsidR="007449CD" w:rsidRPr="000A2F1D">
        <w:rPr>
          <w:rFonts w:asciiTheme="minorHAnsi" w:hAnsiTheme="minorHAnsi" w:cstheme="minorHAnsi"/>
          <w:color w:val="000000"/>
        </w:rPr>
        <w:t>product</w:t>
      </w:r>
      <w:r w:rsidR="004F12A5">
        <w:rPr>
          <w:rFonts w:asciiTheme="minorHAnsi" w:hAnsiTheme="minorHAnsi" w:cstheme="minorHAnsi"/>
          <w:color w:val="000000"/>
        </w:rPr>
        <w:t>) and</w:t>
      </w:r>
      <w:r w:rsidR="007C1C2A">
        <w:rPr>
          <w:rFonts w:asciiTheme="minorHAnsi" w:hAnsiTheme="minorHAnsi" w:cstheme="minorHAnsi"/>
          <w:color w:val="000000"/>
        </w:rPr>
        <w:t xml:space="preserve"> may be</w:t>
      </w:r>
      <w:r w:rsidR="006326A9">
        <w:rPr>
          <w:rFonts w:asciiTheme="minorHAnsi" w:hAnsiTheme="minorHAnsi" w:cstheme="minorHAnsi"/>
          <w:color w:val="000000"/>
        </w:rPr>
        <w:t xml:space="preserve"> provided</w:t>
      </w:r>
      <w:r w:rsidR="000A2F1D" w:rsidRPr="000A2F1D">
        <w:rPr>
          <w:rFonts w:asciiTheme="minorHAnsi" w:hAnsiTheme="minorHAnsi" w:cstheme="minorHAnsi"/>
          <w:color w:val="000000"/>
        </w:rPr>
        <w:t xml:space="preserve"> at the point of sale. </w:t>
      </w:r>
      <w:r w:rsidR="008B5B53">
        <w:rPr>
          <w:rFonts w:asciiTheme="minorHAnsi" w:hAnsiTheme="minorHAnsi" w:cstheme="minorHAnsi"/>
          <w:color w:val="000000"/>
        </w:rPr>
        <w:t>Mandatory i</w:t>
      </w:r>
      <w:r w:rsidR="000A2F1D" w:rsidRPr="000A2F1D">
        <w:rPr>
          <w:rFonts w:asciiTheme="minorHAnsi" w:hAnsiTheme="minorHAnsi" w:cstheme="minorHAnsi"/>
          <w:color w:val="000000"/>
        </w:rPr>
        <w:t xml:space="preserve">nformation standards </w:t>
      </w:r>
      <w:r w:rsidR="008254EF">
        <w:rPr>
          <w:rFonts w:asciiTheme="minorHAnsi" w:hAnsiTheme="minorHAnsi" w:cstheme="minorHAnsi"/>
          <w:color w:val="000000"/>
        </w:rPr>
        <w:t>are enforceable</w:t>
      </w:r>
      <w:r w:rsidR="000A2F1D" w:rsidRPr="000A2F1D">
        <w:rPr>
          <w:rFonts w:asciiTheme="minorHAnsi" w:hAnsiTheme="minorHAnsi" w:cstheme="minorHAnsi"/>
          <w:color w:val="000000"/>
        </w:rPr>
        <w:t xml:space="preserve"> and are intended to make sure consumers are provided with important </w:t>
      </w:r>
      <w:r w:rsidR="006326A9">
        <w:rPr>
          <w:rFonts w:asciiTheme="minorHAnsi" w:hAnsiTheme="minorHAnsi" w:cstheme="minorHAnsi"/>
          <w:color w:val="000000"/>
        </w:rPr>
        <w:t xml:space="preserve">safety </w:t>
      </w:r>
      <w:r w:rsidR="000A2F1D" w:rsidRPr="000A2F1D">
        <w:rPr>
          <w:rFonts w:asciiTheme="minorHAnsi" w:hAnsiTheme="minorHAnsi" w:cstheme="minorHAnsi"/>
          <w:color w:val="000000"/>
        </w:rPr>
        <w:t xml:space="preserve">information about a product. </w:t>
      </w:r>
      <w:r w:rsidR="00BF02D5">
        <w:rPr>
          <w:rFonts w:asciiTheme="minorHAnsi" w:hAnsiTheme="minorHAnsi" w:cstheme="minorHAnsi"/>
          <w:i/>
          <w:iCs/>
          <w:color w:val="000000"/>
        </w:rPr>
        <w:t xml:space="preserve"> </w:t>
      </w:r>
      <w:r w:rsidR="005758EA" w:rsidRPr="008B5B53">
        <w:rPr>
          <w:rFonts w:asciiTheme="minorHAnsi" w:hAnsiTheme="minorHAnsi" w:cstheme="minorHAnsi"/>
          <w:color w:val="000000"/>
        </w:rPr>
        <w:t>P</w:t>
      </w:r>
      <w:r w:rsidR="00BF02D5" w:rsidRPr="008B5B53">
        <w:rPr>
          <w:rFonts w:asciiTheme="minorHAnsi" w:hAnsiTheme="minorHAnsi" w:cstheme="minorHAnsi"/>
          <w:color w:val="000000"/>
        </w:rPr>
        <w:t xml:space="preserve">enalties for breaching a mandatory information standard </w:t>
      </w:r>
      <w:r w:rsidR="005758EA" w:rsidRPr="008B5B53">
        <w:rPr>
          <w:rFonts w:asciiTheme="minorHAnsi" w:hAnsiTheme="minorHAnsi" w:cstheme="minorHAnsi"/>
          <w:color w:val="000000"/>
        </w:rPr>
        <w:t>can be up to</w:t>
      </w:r>
      <w:r w:rsidR="00BF02D5" w:rsidRPr="008B5B53">
        <w:rPr>
          <w:rFonts w:asciiTheme="minorHAnsi" w:hAnsiTheme="minorHAnsi" w:cstheme="minorHAnsi"/>
          <w:color w:val="000000"/>
        </w:rPr>
        <w:t xml:space="preserve"> $500</w:t>
      </w:r>
      <w:r w:rsidR="00852A45">
        <w:rPr>
          <w:rFonts w:asciiTheme="minorHAnsi" w:hAnsiTheme="minorHAnsi" w:cstheme="minorHAnsi"/>
          <w:color w:val="000000"/>
        </w:rPr>
        <w:t>,</w:t>
      </w:r>
      <w:r w:rsidR="00BF02D5" w:rsidRPr="008B5B53">
        <w:rPr>
          <w:rFonts w:asciiTheme="minorHAnsi" w:hAnsiTheme="minorHAnsi" w:cstheme="minorHAnsi"/>
          <w:color w:val="000000"/>
        </w:rPr>
        <w:t xml:space="preserve">000 for an individual and </w:t>
      </w:r>
      <w:r w:rsidR="005758EA" w:rsidRPr="008B5B53">
        <w:rPr>
          <w:rFonts w:asciiTheme="minorHAnsi" w:hAnsiTheme="minorHAnsi" w:cstheme="minorHAnsi"/>
          <w:color w:val="000000"/>
        </w:rPr>
        <w:t>more than</w:t>
      </w:r>
      <w:r w:rsidR="008B5B53">
        <w:rPr>
          <w:rFonts w:asciiTheme="minorHAnsi" w:hAnsiTheme="minorHAnsi" w:cstheme="minorHAnsi"/>
          <w:color w:val="000000"/>
        </w:rPr>
        <w:t xml:space="preserve"> </w:t>
      </w:r>
      <w:r w:rsidR="00BF02D5" w:rsidRPr="008B5B53">
        <w:rPr>
          <w:rFonts w:asciiTheme="minorHAnsi" w:hAnsiTheme="minorHAnsi" w:cstheme="minorHAnsi"/>
          <w:color w:val="000000"/>
        </w:rPr>
        <w:t>$10</w:t>
      </w:r>
      <w:r w:rsidR="00852A45">
        <w:rPr>
          <w:rFonts w:asciiTheme="minorHAnsi" w:hAnsiTheme="minorHAnsi" w:cstheme="minorHAnsi"/>
          <w:color w:val="000000"/>
        </w:rPr>
        <w:t>,</w:t>
      </w:r>
      <w:r w:rsidR="00BF02D5" w:rsidRPr="008B5B53">
        <w:rPr>
          <w:rFonts w:asciiTheme="minorHAnsi" w:hAnsiTheme="minorHAnsi" w:cstheme="minorHAnsi"/>
          <w:color w:val="000000"/>
        </w:rPr>
        <w:t>000</w:t>
      </w:r>
      <w:r w:rsidR="008B5B53">
        <w:rPr>
          <w:rFonts w:asciiTheme="minorHAnsi" w:hAnsiTheme="minorHAnsi" w:cstheme="minorHAnsi"/>
          <w:color w:val="000000"/>
        </w:rPr>
        <w:t>,</w:t>
      </w:r>
      <w:r w:rsidR="00BF02D5" w:rsidRPr="008B5B53">
        <w:rPr>
          <w:rFonts w:asciiTheme="minorHAnsi" w:hAnsiTheme="minorHAnsi" w:cstheme="minorHAnsi"/>
          <w:color w:val="000000"/>
        </w:rPr>
        <w:t xml:space="preserve">000 </w:t>
      </w:r>
      <w:r w:rsidR="005758EA" w:rsidRPr="008B5B53">
        <w:rPr>
          <w:rFonts w:asciiTheme="minorHAnsi" w:hAnsiTheme="minorHAnsi" w:cstheme="minorHAnsi"/>
          <w:color w:val="000000"/>
        </w:rPr>
        <w:t>for a body corporate.</w:t>
      </w:r>
    </w:p>
    <w:p w14:paraId="54A7680F" w14:textId="17F0AB1B" w:rsidR="00ED687F" w:rsidRDefault="0037288D" w:rsidP="00F05000">
      <w:pPr>
        <w:autoSpaceDE w:val="0"/>
        <w:autoSpaceDN w:val="0"/>
        <w:adjustRightInd w:val="0"/>
        <w:spacing w:before="120" w:line="240" w:lineRule="exact"/>
        <w:rPr>
          <w:rFonts w:asciiTheme="minorHAnsi" w:hAnsiTheme="minorHAnsi" w:cstheme="minorHAnsi"/>
          <w:color w:val="000000"/>
        </w:rPr>
      </w:pPr>
      <w:r>
        <w:rPr>
          <w:rFonts w:asciiTheme="minorHAnsi" w:hAnsiTheme="minorHAnsi" w:cstheme="minorHAnsi"/>
          <w:color w:val="000000"/>
        </w:rPr>
        <w:t xml:space="preserve">The ACCC has undertaken </w:t>
      </w:r>
      <w:r w:rsidR="000A1214">
        <w:rPr>
          <w:rFonts w:asciiTheme="minorHAnsi" w:hAnsiTheme="minorHAnsi" w:cstheme="minorHAnsi"/>
          <w:color w:val="000000"/>
        </w:rPr>
        <w:t xml:space="preserve">a </w:t>
      </w:r>
      <w:r>
        <w:rPr>
          <w:rFonts w:asciiTheme="minorHAnsi" w:hAnsiTheme="minorHAnsi" w:cstheme="minorHAnsi"/>
          <w:color w:val="000000"/>
        </w:rPr>
        <w:t xml:space="preserve">comprehensive consultation </w:t>
      </w:r>
      <w:r w:rsidR="00371D37">
        <w:rPr>
          <w:rFonts w:asciiTheme="minorHAnsi" w:hAnsiTheme="minorHAnsi" w:cstheme="minorHAnsi"/>
          <w:color w:val="000000"/>
        </w:rPr>
        <w:t xml:space="preserve">process </w:t>
      </w:r>
      <w:r w:rsidR="008B11AE">
        <w:rPr>
          <w:rFonts w:asciiTheme="minorHAnsi" w:hAnsiTheme="minorHAnsi" w:cstheme="minorHAnsi"/>
          <w:color w:val="000000"/>
        </w:rPr>
        <w:t xml:space="preserve">to inform </w:t>
      </w:r>
      <w:r w:rsidR="00201E99">
        <w:rPr>
          <w:rFonts w:asciiTheme="minorHAnsi" w:hAnsiTheme="minorHAnsi" w:cstheme="minorHAnsi"/>
          <w:color w:val="000000"/>
        </w:rPr>
        <w:t>its</w:t>
      </w:r>
      <w:r w:rsidR="008B11AE">
        <w:rPr>
          <w:rFonts w:asciiTheme="minorHAnsi" w:hAnsiTheme="minorHAnsi" w:cstheme="minorHAnsi"/>
          <w:color w:val="000000"/>
        </w:rPr>
        <w:t xml:space="preserve"> </w:t>
      </w:r>
      <w:r w:rsidR="001E68F7">
        <w:rPr>
          <w:rFonts w:asciiTheme="minorHAnsi" w:hAnsiTheme="minorHAnsi" w:cstheme="minorHAnsi"/>
          <w:color w:val="000000"/>
        </w:rPr>
        <w:t>final recommendation</w:t>
      </w:r>
      <w:r>
        <w:rPr>
          <w:rFonts w:asciiTheme="minorHAnsi" w:hAnsiTheme="minorHAnsi" w:cstheme="minorHAnsi"/>
          <w:color w:val="000000"/>
        </w:rPr>
        <w:t xml:space="preserve">. </w:t>
      </w:r>
      <w:r w:rsidR="000A1214">
        <w:rPr>
          <w:rFonts w:asciiTheme="minorHAnsi" w:hAnsiTheme="minorHAnsi" w:cstheme="minorHAnsi"/>
          <w:color w:val="000000"/>
        </w:rPr>
        <w:t>The ACCC</w:t>
      </w:r>
      <w:r>
        <w:rPr>
          <w:rFonts w:asciiTheme="minorHAnsi" w:hAnsiTheme="minorHAnsi" w:cstheme="minorHAnsi"/>
          <w:color w:val="000000"/>
        </w:rPr>
        <w:t xml:space="preserve"> released an </w:t>
      </w:r>
      <w:hyperlink r:id="rId18" w:history="1">
        <w:r w:rsidR="003058B9" w:rsidRPr="008C3D86">
          <w:rPr>
            <w:rStyle w:val="Hyperlink"/>
            <w:rFonts w:asciiTheme="minorHAnsi" w:hAnsiTheme="minorHAnsi" w:cstheme="minorHAnsi"/>
          </w:rPr>
          <w:t>I</w:t>
        </w:r>
        <w:r w:rsidRPr="008C3D86">
          <w:rPr>
            <w:rStyle w:val="Hyperlink"/>
            <w:rFonts w:asciiTheme="minorHAnsi" w:hAnsiTheme="minorHAnsi" w:cstheme="minorHAnsi"/>
          </w:rPr>
          <w:t xml:space="preserve">ssues </w:t>
        </w:r>
        <w:r w:rsidR="003058B9" w:rsidRPr="008C3D86">
          <w:rPr>
            <w:rStyle w:val="Hyperlink"/>
            <w:rFonts w:asciiTheme="minorHAnsi" w:hAnsiTheme="minorHAnsi" w:cstheme="minorHAnsi"/>
          </w:rPr>
          <w:t>P</w:t>
        </w:r>
        <w:r w:rsidRPr="008C3D86">
          <w:rPr>
            <w:rStyle w:val="Hyperlink"/>
            <w:rFonts w:asciiTheme="minorHAnsi" w:hAnsiTheme="minorHAnsi" w:cstheme="minorHAnsi"/>
          </w:rPr>
          <w:t>aper</w:t>
        </w:r>
      </w:hyperlink>
      <w:r>
        <w:rPr>
          <w:rFonts w:asciiTheme="minorHAnsi" w:hAnsiTheme="minorHAnsi" w:cstheme="minorHAnsi"/>
          <w:color w:val="000000"/>
        </w:rPr>
        <w:t xml:space="preserve"> in August 2021 </w:t>
      </w:r>
      <w:r w:rsidR="006326A9">
        <w:rPr>
          <w:rFonts w:asciiTheme="minorHAnsi" w:hAnsiTheme="minorHAnsi" w:cstheme="minorHAnsi"/>
          <w:color w:val="000000"/>
        </w:rPr>
        <w:t xml:space="preserve">seeking information </w:t>
      </w:r>
      <w:r>
        <w:rPr>
          <w:rFonts w:asciiTheme="minorHAnsi" w:hAnsiTheme="minorHAnsi" w:cstheme="minorHAnsi"/>
          <w:color w:val="000000"/>
        </w:rPr>
        <w:t xml:space="preserve">to </w:t>
      </w:r>
      <w:r w:rsidR="008872D8">
        <w:rPr>
          <w:rFonts w:asciiTheme="minorHAnsi" w:hAnsiTheme="minorHAnsi" w:cstheme="minorHAnsi"/>
          <w:color w:val="000000"/>
        </w:rPr>
        <w:t>assess</w:t>
      </w:r>
      <w:r>
        <w:rPr>
          <w:rFonts w:asciiTheme="minorHAnsi" w:hAnsiTheme="minorHAnsi" w:cstheme="minorHAnsi"/>
          <w:color w:val="000000"/>
        </w:rPr>
        <w:t xml:space="preserve"> factors affecting safety, and potential options to reduce the risk of injury and death.</w:t>
      </w:r>
      <w:r w:rsidR="008254EF">
        <w:rPr>
          <w:rStyle w:val="FootnoteReference"/>
          <w:rFonts w:asciiTheme="minorHAnsi" w:hAnsiTheme="minorHAnsi" w:cstheme="minorHAnsi"/>
          <w:color w:val="000000"/>
        </w:rPr>
        <w:footnoteReference w:id="4"/>
      </w:r>
      <w:r w:rsidR="003058B9">
        <w:rPr>
          <w:rFonts w:asciiTheme="minorHAnsi" w:hAnsiTheme="minorHAnsi" w:cstheme="minorHAnsi"/>
          <w:color w:val="000000"/>
        </w:rPr>
        <w:t xml:space="preserve"> </w:t>
      </w:r>
      <w:r w:rsidR="003D1FF4">
        <w:rPr>
          <w:rFonts w:asciiTheme="minorHAnsi" w:hAnsiTheme="minorHAnsi" w:cstheme="minorHAnsi"/>
          <w:color w:val="000000"/>
        </w:rPr>
        <w:t>We r</w:t>
      </w:r>
      <w:r w:rsidR="003058B9">
        <w:rPr>
          <w:rFonts w:asciiTheme="minorHAnsi" w:hAnsiTheme="minorHAnsi" w:cstheme="minorHAnsi"/>
          <w:color w:val="000000"/>
        </w:rPr>
        <w:t xml:space="preserve">eceived </w:t>
      </w:r>
      <w:r w:rsidR="00485DE9">
        <w:rPr>
          <w:rFonts w:asciiTheme="minorHAnsi" w:hAnsiTheme="minorHAnsi" w:cstheme="minorHAnsi"/>
          <w:color w:val="000000"/>
        </w:rPr>
        <w:t>30</w:t>
      </w:r>
      <w:r w:rsidR="003058B9">
        <w:rPr>
          <w:rFonts w:asciiTheme="minorHAnsi" w:hAnsiTheme="minorHAnsi" w:cstheme="minorHAnsi"/>
          <w:color w:val="000000"/>
        </w:rPr>
        <w:t xml:space="preserve"> submissions in response to the Issues Paper</w:t>
      </w:r>
      <w:r w:rsidR="00C209B8">
        <w:rPr>
          <w:rFonts w:asciiTheme="minorHAnsi" w:hAnsiTheme="minorHAnsi" w:cstheme="minorHAnsi"/>
          <w:color w:val="000000"/>
        </w:rPr>
        <w:t xml:space="preserve"> from a broad range of stakeholders</w:t>
      </w:r>
      <w:r w:rsidR="003058B9">
        <w:rPr>
          <w:rFonts w:asciiTheme="minorHAnsi" w:hAnsiTheme="minorHAnsi" w:cstheme="minorHAnsi"/>
          <w:color w:val="000000"/>
        </w:rPr>
        <w:t xml:space="preserve">. </w:t>
      </w:r>
    </w:p>
    <w:p w14:paraId="53295951" w14:textId="220658D3" w:rsidR="00C209B8" w:rsidRDefault="00C52BD7" w:rsidP="00F05000">
      <w:pPr>
        <w:autoSpaceDE w:val="0"/>
        <w:autoSpaceDN w:val="0"/>
        <w:adjustRightInd w:val="0"/>
        <w:spacing w:before="120" w:line="240" w:lineRule="exact"/>
        <w:rPr>
          <w:rFonts w:asciiTheme="minorHAnsi" w:hAnsiTheme="minorHAnsi" w:cstheme="minorHAnsi"/>
          <w:color w:val="000000"/>
        </w:rPr>
      </w:pPr>
      <w:r>
        <w:rPr>
          <w:rFonts w:asciiTheme="minorHAnsi" w:hAnsiTheme="minorHAnsi" w:cstheme="minorHAnsi"/>
          <w:color w:val="000000"/>
        </w:rPr>
        <w:t>Submissions</w:t>
      </w:r>
      <w:r w:rsidR="003058B9">
        <w:rPr>
          <w:rFonts w:asciiTheme="minorHAnsi" w:hAnsiTheme="minorHAnsi" w:cstheme="minorHAnsi"/>
          <w:color w:val="000000"/>
        </w:rPr>
        <w:t xml:space="preserve"> </w:t>
      </w:r>
      <w:r w:rsidR="00497722">
        <w:rPr>
          <w:rFonts w:asciiTheme="minorHAnsi" w:hAnsiTheme="minorHAnsi" w:cstheme="minorHAnsi"/>
          <w:color w:val="000000"/>
        </w:rPr>
        <w:t>informed</w:t>
      </w:r>
      <w:r w:rsidR="003058B9">
        <w:rPr>
          <w:rFonts w:asciiTheme="minorHAnsi" w:hAnsiTheme="minorHAnsi" w:cstheme="minorHAnsi"/>
          <w:color w:val="000000"/>
        </w:rPr>
        <w:t xml:space="preserve"> the development of the </w:t>
      </w:r>
      <w:hyperlink r:id="rId19" w:history="1">
        <w:r w:rsidR="003058B9" w:rsidRPr="00BB536A">
          <w:rPr>
            <w:rStyle w:val="Hyperlink"/>
            <w:rFonts w:asciiTheme="minorHAnsi" w:hAnsiTheme="minorHAnsi" w:cstheme="minorHAnsi"/>
          </w:rPr>
          <w:t xml:space="preserve">Consultation </w:t>
        </w:r>
        <w:r w:rsidR="001677A0" w:rsidRPr="00BB536A">
          <w:rPr>
            <w:rStyle w:val="Hyperlink"/>
            <w:rFonts w:asciiTheme="minorHAnsi" w:hAnsiTheme="minorHAnsi" w:cstheme="minorHAnsi"/>
          </w:rPr>
          <w:t xml:space="preserve">Regulation </w:t>
        </w:r>
        <w:r w:rsidR="003058B9" w:rsidRPr="00BB536A">
          <w:rPr>
            <w:rStyle w:val="Hyperlink"/>
            <w:rFonts w:asciiTheme="minorHAnsi" w:hAnsiTheme="minorHAnsi" w:cstheme="minorHAnsi"/>
          </w:rPr>
          <w:t>Impact Statement</w:t>
        </w:r>
      </w:hyperlink>
      <w:r w:rsidR="003058B9">
        <w:rPr>
          <w:rFonts w:asciiTheme="minorHAnsi" w:hAnsiTheme="minorHAnsi" w:cstheme="minorHAnsi"/>
          <w:color w:val="000000"/>
        </w:rPr>
        <w:t xml:space="preserve"> (RIS), published in May 2022.</w:t>
      </w:r>
      <w:r w:rsidR="0057263B">
        <w:rPr>
          <w:rStyle w:val="FootnoteReference"/>
          <w:rFonts w:asciiTheme="minorHAnsi" w:hAnsiTheme="minorHAnsi" w:cstheme="minorHAnsi"/>
          <w:color w:val="000000"/>
        </w:rPr>
        <w:footnoteReference w:id="5"/>
      </w:r>
      <w:r w:rsidR="008872D8">
        <w:rPr>
          <w:rFonts w:asciiTheme="minorHAnsi" w:hAnsiTheme="minorHAnsi" w:cstheme="minorHAnsi"/>
          <w:color w:val="000000"/>
        </w:rPr>
        <w:t xml:space="preserve"> The Consultation RIS summarised </w:t>
      </w:r>
      <w:r w:rsidR="001C4236">
        <w:rPr>
          <w:rFonts w:asciiTheme="minorHAnsi" w:hAnsiTheme="minorHAnsi" w:cstheme="minorHAnsi"/>
          <w:color w:val="000000"/>
        </w:rPr>
        <w:t>5</w:t>
      </w:r>
      <w:r w:rsidR="00C209B8">
        <w:rPr>
          <w:rFonts w:asciiTheme="minorHAnsi" w:hAnsiTheme="minorHAnsi" w:cstheme="minorHAnsi"/>
          <w:color w:val="000000"/>
        </w:rPr>
        <w:t xml:space="preserve"> options </w:t>
      </w:r>
      <w:r w:rsidR="00497722">
        <w:rPr>
          <w:rFonts w:asciiTheme="minorHAnsi" w:hAnsiTheme="minorHAnsi" w:cstheme="minorHAnsi"/>
          <w:color w:val="000000"/>
        </w:rPr>
        <w:t xml:space="preserve">intended to </w:t>
      </w:r>
      <w:r w:rsidR="00C209B8">
        <w:rPr>
          <w:rFonts w:asciiTheme="minorHAnsi" w:hAnsiTheme="minorHAnsi" w:cstheme="minorHAnsi"/>
          <w:color w:val="000000"/>
        </w:rPr>
        <w:t>improve the safety of storage furniture, the ACCC’s preliminary recommendation</w:t>
      </w:r>
      <w:r w:rsidR="00497722">
        <w:rPr>
          <w:rFonts w:asciiTheme="minorHAnsi" w:hAnsiTheme="minorHAnsi" w:cstheme="minorHAnsi"/>
          <w:color w:val="000000"/>
        </w:rPr>
        <w:t>,</w:t>
      </w:r>
      <w:r w:rsidR="00C209B8">
        <w:rPr>
          <w:rFonts w:asciiTheme="minorHAnsi" w:hAnsiTheme="minorHAnsi" w:cstheme="minorHAnsi"/>
          <w:color w:val="000000"/>
        </w:rPr>
        <w:t xml:space="preserve"> and a series of questions for stakeholder consideration. </w:t>
      </w:r>
      <w:r w:rsidR="00DB72C9">
        <w:rPr>
          <w:rFonts w:asciiTheme="minorHAnsi" w:hAnsiTheme="minorHAnsi" w:cstheme="minorHAnsi"/>
          <w:color w:val="000000"/>
        </w:rPr>
        <w:t xml:space="preserve">We </w:t>
      </w:r>
      <w:r w:rsidR="000E2957">
        <w:rPr>
          <w:rFonts w:asciiTheme="minorHAnsi" w:hAnsiTheme="minorHAnsi" w:cstheme="minorHAnsi"/>
          <w:color w:val="000000"/>
        </w:rPr>
        <w:t xml:space="preserve">received </w:t>
      </w:r>
      <w:r w:rsidR="009A5E25" w:rsidRPr="007767EE">
        <w:rPr>
          <w:rFonts w:asciiTheme="minorHAnsi" w:hAnsiTheme="minorHAnsi" w:cstheme="minorHAnsi"/>
        </w:rPr>
        <w:t>32</w:t>
      </w:r>
      <w:r w:rsidR="000E2957" w:rsidRPr="007767EE">
        <w:rPr>
          <w:rFonts w:asciiTheme="minorHAnsi" w:hAnsiTheme="minorHAnsi" w:cstheme="minorHAnsi"/>
          <w:color w:val="FF0000"/>
        </w:rPr>
        <w:t xml:space="preserve"> </w:t>
      </w:r>
      <w:r w:rsidR="000E2957">
        <w:rPr>
          <w:rFonts w:asciiTheme="minorHAnsi" w:hAnsiTheme="minorHAnsi" w:cstheme="minorHAnsi"/>
          <w:color w:val="000000"/>
        </w:rPr>
        <w:t>submissions and undertook</w:t>
      </w:r>
      <w:r w:rsidR="007767EE">
        <w:rPr>
          <w:rFonts w:asciiTheme="minorHAnsi" w:hAnsiTheme="minorHAnsi" w:cstheme="minorHAnsi"/>
          <w:color w:val="000000"/>
        </w:rPr>
        <w:t xml:space="preserve"> </w:t>
      </w:r>
      <w:r w:rsidR="00041BCC">
        <w:rPr>
          <w:rFonts w:asciiTheme="minorHAnsi" w:hAnsiTheme="minorHAnsi" w:cstheme="minorHAnsi"/>
          <w:color w:val="000000"/>
        </w:rPr>
        <w:t>additional</w:t>
      </w:r>
      <w:r w:rsidR="000E2957">
        <w:rPr>
          <w:rFonts w:asciiTheme="minorHAnsi" w:hAnsiTheme="minorHAnsi" w:cstheme="minorHAnsi"/>
          <w:color w:val="000000"/>
        </w:rPr>
        <w:t xml:space="preserve"> targeted consultation with</w:t>
      </w:r>
      <w:r w:rsidR="000E2957" w:rsidRPr="007767EE">
        <w:rPr>
          <w:rFonts w:asciiTheme="minorHAnsi" w:hAnsiTheme="minorHAnsi" w:cstheme="minorHAnsi"/>
        </w:rPr>
        <w:t xml:space="preserve"> </w:t>
      </w:r>
      <w:r w:rsidR="007767EE">
        <w:rPr>
          <w:rFonts w:asciiTheme="minorHAnsi" w:hAnsiTheme="minorHAnsi" w:cstheme="minorHAnsi"/>
        </w:rPr>
        <w:t>key</w:t>
      </w:r>
      <w:r w:rsidR="000E2957" w:rsidRPr="00F05000">
        <w:rPr>
          <w:rFonts w:asciiTheme="minorHAnsi" w:hAnsiTheme="minorHAnsi" w:cstheme="minorHAnsi"/>
        </w:rPr>
        <w:t xml:space="preserve"> </w:t>
      </w:r>
      <w:r w:rsidR="000E2957">
        <w:rPr>
          <w:rFonts w:asciiTheme="minorHAnsi" w:hAnsiTheme="minorHAnsi" w:cstheme="minorHAnsi"/>
          <w:color w:val="000000"/>
        </w:rPr>
        <w:t>stakeholders</w:t>
      </w:r>
      <w:r w:rsidR="009E43F8">
        <w:rPr>
          <w:rFonts w:asciiTheme="minorHAnsi" w:hAnsiTheme="minorHAnsi" w:cstheme="minorHAnsi"/>
          <w:color w:val="000000"/>
        </w:rPr>
        <w:t>.</w:t>
      </w:r>
      <w:r w:rsidR="009E43F8">
        <w:rPr>
          <w:rStyle w:val="FootnoteReference"/>
          <w:rFonts w:asciiTheme="minorHAnsi" w:hAnsiTheme="minorHAnsi" w:cstheme="minorHAnsi"/>
          <w:color w:val="000000"/>
        </w:rPr>
        <w:footnoteReference w:id="6"/>
      </w:r>
      <w:r>
        <w:rPr>
          <w:rFonts w:asciiTheme="minorHAnsi" w:hAnsiTheme="minorHAnsi" w:cstheme="minorHAnsi"/>
          <w:color w:val="000000"/>
        </w:rPr>
        <w:t xml:space="preserve"> </w:t>
      </w:r>
    </w:p>
    <w:p w14:paraId="688A65B3" w14:textId="31CCCDBF" w:rsidR="00637081" w:rsidRDefault="00291F25" w:rsidP="00F05000">
      <w:pPr>
        <w:autoSpaceDE w:val="0"/>
        <w:autoSpaceDN w:val="0"/>
        <w:adjustRightInd w:val="0"/>
        <w:spacing w:before="120" w:line="240" w:lineRule="exact"/>
        <w:rPr>
          <w:rFonts w:asciiTheme="minorHAnsi" w:hAnsiTheme="minorHAnsi" w:cstheme="minorHAnsi"/>
          <w:i/>
          <w:iCs/>
          <w:color w:val="000000"/>
        </w:rPr>
      </w:pPr>
      <w:r w:rsidRPr="00291F25">
        <w:rPr>
          <w:rFonts w:asciiTheme="minorHAnsi" w:hAnsiTheme="minorHAnsi" w:cstheme="minorHAnsi"/>
          <w:color w:val="000000"/>
        </w:rPr>
        <w:t>An overview of the major milestones in the development of th</w:t>
      </w:r>
      <w:r>
        <w:rPr>
          <w:rFonts w:asciiTheme="minorHAnsi" w:hAnsiTheme="minorHAnsi" w:cstheme="minorHAnsi"/>
          <w:color w:val="000000"/>
        </w:rPr>
        <w:t>is</w:t>
      </w:r>
      <w:r w:rsidRPr="00291F25">
        <w:rPr>
          <w:rFonts w:asciiTheme="minorHAnsi" w:hAnsiTheme="minorHAnsi" w:cstheme="minorHAnsi"/>
          <w:color w:val="000000"/>
        </w:rPr>
        <w:t xml:space="preserve"> </w:t>
      </w:r>
      <w:r>
        <w:rPr>
          <w:rFonts w:asciiTheme="minorHAnsi" w:hAnsiTheme="minorHAnsi" w:cstheme="minorHAnsi"/>
          <w:color w:val="000000"/>
        </w:rPr>
        <w:t>final recommendation</w:t>
      </w:r>
      <w:r w:rsidRPr="00291F25">
        <w:rPr>
          <w:rFonts w:asciiTheme="minorHAnsi" w:hAnsiTheme="minorHAnsi" w:cstheme="minorHAnsi"/>
          <w:color w:val="000000"/>
        </w:rPr>
        <w:t xml:space="preserve"> is in </w:t>
      </w:r>
      <w:r w:rsidRPr="00EB4A3E">
        <w:rPr>
          <w:rFonts w:asciiTheme="minorHAnsi" w:hAnsiTheme="minorHAnsi" w:cstheme="minorHAnsi"/>
          <w:color w:val="000000"/>
        </w:rPr>
        <w:t>Appendix A.</w:t>
      </w:r>
    </w:p>
    <w:p w14:paraId="443E5FC0" w14:textId="4A4A3044" w:rsidR="00291F25" w:rsidRPr="00B14F04" w:rsidRDefault="00637081" w:rsidP="00B64F3F">
      <w:pPr>
        <w:rPr>
          <w:rFonts w:asciiTheme="minorHAnsi" w:hAnsiTheme="minorHAnsi" w:cstheme="minorHAnsi"/>
          <w:i/>
          <w:iCs/>
          <w:color w:val="000000"/>
        </w:rPr>
      </w:pPr>
      <w:r>
        <w:rPr>
          <w:rFonts w:asciiTheme="minorHAnsi" w:hAnsiTheme="minorHAnsi" w:cstheme="minorHAnsi"/>
          <w:i/>
          <w:iCs/>
          <w:color w:val="000000"/>
        </w:rPr>
        <w:br w:type="page"/>
      </w:r>
    </w:p>
    <w:p w14:paraId="0DF8C761" w14:textId="12C829FE" w:rsidR="008863E6" w:rsidRDefault="008863E6" w:rsidP="00B14F04">
      <w:pPr>
        <w:pStyle w:val="Numbered1"/>
      </w:pPr>
      <w:bookmarkStart w:id="235" w:name="_Toc113889761"/>
      <w:bookmarkStart w:id="236" w:name="_Toc113890713"/>
      <w:bookmarkStart w:id="237" w:name="_Toc113890807"/>
      <w:bookmarkStart w:id="238" w:name="_Toc113977077"/>
      <w:bookmarkStart w:id="239" w:name="_Toc114039176"/>
      <w:bookmarkStart w:id="240" w:name="_Toc114142844"/>
      <w:bookmarkStart w:id="241" w:name="_Toc114232543"/>
      <w:bookmarkStart w:id="242" w:name="_Toc114233021"/>
      <w:bookmarkStart w:id="243" w:name="_Toc114233498"/>
      <w:bookmarkStart w:id="244" w:name="_Toc115341157"/>
      <w:bookmarkStart w:id="245" w:name="_Toc115341666"/>
      <w:bookmarkStart w:id="246" w:name="_Toc115342175"/>
      <w:bookmarkStart w:id="247" w:name="_Toc116285581"/>
      <w:bookmarkStart w:id="248" w:name="_Toc116290673"/>
      <w:bookmarkStart w:id="249" w:name="_Toc12607410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t xml:space="preserve">What is the </w:t>
      </w:r>
      <w:r w:rsidR="005B52CA">
        <w:t>p</w:t>
      </w:r>
      <w:r w:rsidR="00864CA3">
        <w:t>roblem we are trying to solve?</w:t>
      </w:r>
      <w:bookmarkEnd w:id="249"/>
    </w:p>
    <w:p w14:paraId="30CC8F2D" w14:textId="7EAE7ED6" w:rsidR="009D0401" w:rsidRDefault="0068038C" w:rsidP="0068038C">
      <w:pPr>
        <w:spacing w:before="120"/>
      </w:pPr>
      <w:r w:rsidRPr="0068038C">
        <w:t>Furniture can topple and cause severe injury and death. The</w:t>
      </w:r>
      <w:r w:rsidR="004D0E39">
        <w:t xml:space="preserve"> greatest</w:t>
      </w:r>
      <w:r w:rsidRPr="0068038C">
        <w:t xml:space="preserve"> risk</w:t>
      </w:r>
      <w:r w:rsidR="004D0E39">
        <w:t xml:space="preserve"> of injury or death</w:t>
      </w:r>
      <w:r w:rsidR="001307E8">
        <w:t xml:space="preserve"> </w:t>
      </w:r>
      <w:r w:rsidR="004D0E39">
        <w:t xml:space="preserve">arises </w:t>
      </w:r>
      <w:r w:rsidRPr="0068038C">
        <w:t xml:space="preserve">when children attempt to climb </w:t>
      </w:r>
      <w:r w:rsidR="006B78C7">
        <w:t>furniture</w:t>
      </w:r>
      <w:r w:rsidRPr="0068038C">
        <w:t xml:space="preserve">, as the weight of a child on an open drawer or shelf may unbalance the furniture. </w:t>
      </w:r>
    </w:p>
    <w:p w14:paraId="16D3468D" w14:textId="7D937EA8" w:rsidR="0068038C" w:rsidRPr="0068038C" w:rsidRDefault="009D0401" w:rsidP="0068038C">
      <w:pPr>
        <w:spacing w:before="120"/>
      </w:pPr>
      <w:r>
        <w:t>C</w:t>
      </w:r>
      <w:r w:rsidRPr="004C396F">
        <w:t xml:space="preserve">onsumers </w:t>
      </w:r>
      <w:r>
        <w:t>appear to</w:t>
      </w:r>
      <w:r w:rsidRPr="004C396F">
        <w:t xml:space="preserve"> remain unaware of the risks associated with toppling furniture and may assume that furniture items available in Australia have been designed with safety in mind.</w:t>
      </w:r>
      <w:r w:rsidRPr="004C396F">
        <w:rPr>
          <w:rStyle w:val="FootnoteReference"/>
        </w:rPr>
        <w:footnoteReference w:id="7"/>
      </w:r>
      <w:r w:rsidRPr="004C396F">
        <w:t xml:space="preserve"> </w:t>
      </w:r>
      <w:r w:rsidR="00536464">
        <w:t xml:space="preserve">This can result in consumers not taking precautions to </w:t>
      </w:r>
      <w:r w:rsidR="0060001F">
        <w:t>mitigate</w:t>
      </w:r>
      <w:r w:rsidR="00536464">
        <w:t xml:space="preserve"> the risk of furniture toppling, </w:t>
      </w:r>
      <w:r w:rsidR="0060001F">
        <w:t>such as</w:t>
      </w:r>
      <w:r w:rsidR="00536464">
        <w:t xml:space="preserve"> by securing furniture or </w:t>
      </w:r>
      <w:r w:rsidR="0060001F">
        <w:t>preventing</w:t>
      </w:r>
      <w:r w:rsidR="00536464">
        <w:t xml:space="preserve"> children</w:t>
      </w:r>
      <w:r w:rsidR="0060001F">
        <w:t xml:space="preserve"> from climbing furniture</w:t>
      </w:r>
      <w:r w:rsidR="00536464">
        <w:t xml:space="preserve">. </w:t>
      </w:r>
    </w:p>
    <w:p w14:paraId="42463A02" w14:textId="77777777" w:rsidR="0068038C" w:rsidRPr="0068038C" w:rsidRDefault="0068038C" w:rsidP="0068038C">
      <w:pPr>
        <w:spacing w:before="120"/>
      </w:pPr>
      <w:r w:rsidRPr="0068038C">
        <w:t xml:space="preserve">The design characteristics of storage furniture items mean that they have a propensity to tip-over if unsecured. This is because: </w:t>
      </w:r>
    </w:p>
    <w:p w14:paraId="1B2C2DB4" w14:textId="77777777" w:rsidR="0068038C" w:rsidRPr="0068038C" w:rsidRDefault="0068038C" w:rsidP="0068038C">
      <w:pPr>
        <w:numPr>
          <w:ilvl w:val="0"/>
          <w:numId w:val="26"/>
        </w:numPr>
        <w:tabs>
          <w:tab w:val="left" w:pos="340"/>
        </w:tabs>
        <w:spacing w:before="120"/>
      </w:pPr>
      <w:r w:rsidRPr="0068038C">
        <w:t xml:space="preserve">they are generally tall and wide with a narrow base </w:t>
      </w:r>
    </w:p>
    <w:p w14:paraId="08E2171B" w14:textId="77777777" w:rsidR="0068038C" w:rsidRPr="0068038C" w:rsidRDefault="0068038C" w:rsidP="0068038C">
      <w:pPr>
        <w:numPr>
          <w:ilvl w:val="0"/>
          <w:numId w:val="26"/>
        </w:numPr>
        <w:tabs>
          <w:tab w:val="left" w:pos="340"/>
        </w:tabs>
        <w:spacing w:before="120"/>
      </w:pPr>
      <w:r w:rsidRPr="0068038C">
        <w:t xml:space="preserve">open drawers or doors bring the mass further toward the front of the unit </w:t>
      </w:r>
    </w:p>
    <w:p w14:paraId="520BFEB1" w14:textId="2F18D6AA" w:rsidR="001307E8" w:rsidRPr="0068038C" w:rsidRDefault="0068038C" w:rsidP="00DC5C82">
      <w:pPr>
        <w:numPr>
          <w:ilvl w:val="0"/>
          <w:numId w:val="55"/>
        </w:numPr>
        <w:tabs>
          <w:tab w:val="left" w:pos="340"/>
        </w:tabs>
        <w:spacing w:before="120"/>
      </w:pPr>
      <w:r w:rsidRPr="0068038C">
        <w:t>a high and forward centre of mass is further compromised when mass is added to the front of the object</w:t>
      </w:r>
      <w:r w:rsidR="00536464">
        <w:t xml:space="preserve"> </w:t>
      </w:r>
    </w:p>
    <w:p w14:paraId="77853107" w14:textId="1CC2EA6A" w:rsidR="0068038C" w:rsidRPr="0068038C" w:rsidRDefault="00DC5C82" w:rsidP="00DC5C82">
      <w:pPr>
        <w:tabs>
          <w:tab w:val="left" w:pos="340"/>
        </w:tabs>
        <w:spacing w:before="120"/>
      </w:pPr>
      <w:r>
        <w:t>T</w:t>
      </w:r>
      <w:r w:rsidR="0068038C" w:rsidRPr="0068038C">
        <w:t xml:space="preserve">his may happen when a child opens drawers and climbs onto the furniture to reach objects. </w:t>
      </w:r>
    </w:p>
    <w:p w14:paraId="23FFB9FC" w14:textId="2F6C12EA" w:rsidR="00864CA3" w:rsidRPr="00864CA3" w:rsidRDefault="0068038C" w:rsidP="006B78C7">
      <w:r w:rsidRPr="005D4886">
        <w:rPr>
          <w:noProof/>
          <w:sz w:val="20"/>
          <w:szCs w:val="20"/>
          <w:lang w:eastAsia="en-AU"/>
        </w:rPr>
        <w:drawing>
          <wp:inline distT="0" distB="0" distL="0" distR="0" wp14:anchorId="601E73B9" wp14:editId="0B4A5C73">
            <wp:extent cx="5524500" cy="2772044"/>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35725" cy="2777677"/>
                    </a:xfrm>
                    <a:prstGeom prst="rect">
                      <a:avLst/>
                    </a:prstGeom>
                  </pic:spPr>
                </pic:pic>
              </a:graphicData>
            </a:graphic>
          </wp:inline>
        </w:drawing>
      </w:r>
    </w:p>
    <w:p w14:paraId="54970037" w14:textId="3D80B6FC" w:rsidR="00AB2C2E" w:rsidRPr="00041BCC" w:rsidRDefault="004717F6" w:rsidP="006B78C7">
      <w:pPr>
        <w:pStyle w:val="Heading2"/>
      </w:pPr>
      <w:bookmarkStart w:id="250" w:name="_Toc126074102"/>
      <w:r w:rsidRPr="00041BCC">
        <w:t xml:space="preserve">Types of </w:t>
      </w:r>
      <w:r w:rsidR="00E9345C" w:rsidRPr="00041BCC">
        <w:t>furniture at risk of toppling</w:t>
      </w:r>
      <w:bookmarkEnd w:id="250"/>
    </w:p>
    <w:p w14:paraId="237E29C2" w14:textId="36473AF4" w:rsidR="003B70D6" w:rsidRPr="00F05000" w:rsidRDefault="003B70D6">
      <w:pPr>
        <w:rPr>
          <w:rFonts w:cs="Arial"/>
          <w:shd w:val="clear" w:color="auto" w:fill="FFFFFF"/>
        </w:rPr>
      </w:pPr>
      <w:r w:rsidRPr="00F05000">
        <w:rPr>
          <w:rFonts w:cs="Arial"/>
          <w:shd w:val="clear" w:color="auto" w:fill="FFFFFF"/>
        </w:rPr>
        <w:t>Common household storage furniture can</w:t>
      </w:r>
      <w:r w:rsidR="00A85EE1" w:rsidRPr="00F05000">
        <w:rPr>
          <w:rFonts w:cs="Arial"/>
          <w:shd w:val="clear" w:color="auto" w:fill="FFFFFF"/>
        </w:rPr>
        <w:t xml:space="preserve"> easily</w:t>
      </w:r>
      <w:r w:rsidRPr="00F05000">
        <w:rPr>
          <w:rFonts w:cs="Arial"/>
          <w:shd w:val="clear" w:color="auto" w:fill="FFFFFF"/>
        </w:rPr>
        <w:t xml:space="preserve"> topple causing serious injuries and death. </w:t>
      </w:r>
    </w:p>
    <w:p w14:paraId="00F25E62" w14:textId="01E28098" w:rsidR="00276441" w:rsidRPr="00F05000" w:rsidRDefault="00257FD6">
      <w:pPr>
        <w:rPr>
          <w:rFonts w:cs="Arial"/>
          <w:shd w:val="clear" w:color="auto" w:fill="FFFFFF"/>
        </w:rPr>
      </w:pPr>
      <w:r>
        <w:rPr>
          <w:rFonts w:cs="Arial"/>
        </w:rPr>
        <w:t>D</w:t>
      </w:r>
      <w:r w:rsidR="00276441" w:rsidRPr="00F05000">
        <w:rPr>
          <w:rFonts w:cs="Arial"/>
        </w:rPr>
        <w:t>ata shows that</w:t>
      </w:r>
      <w:r w:rsidR="00041BCC" w:rsidRPr="00F05000">
        <w:rPr>
          <w:rFonts w:cs="Arial"/>
        </w:rPr>
        <w:t xml:space="preserve"> </w:t>
      </w:r>
      <w:r w:rsidR="00AC0346">
        <w:rPr>
          <w:rFonts w:cs="Arial"/>
        </w:rPr>
        <w:t>the following items present the greatest risk</w:t>
      </w:r>
      <w:r w:rsidR="00276441" w:rsidRPr="00F05000">
        <w:rPr>
          <w:rFonts w:cs="Arial"/>
        </w:rPr>
        <w:t>:</w:t>
      </w:r>
      <w:r w:rsidR="0090162A" w:rsidRPr="0090162A">
        <w:rPr>
          <w:rStyle w:val="FootnoteReference"/>
          <w:rFonts w:cs="Arial"/>
        </w:rPr>
        <w:t xml:space="preserve"> </w:t>
      </w:r>
      <w:r w:rsidR="0090162A">
        <w:rPr>
          <w:rStyle w:val="FootnoteReference"/>
          <w:rFonts w:cs="Arial"/>
        </w:rPr>
        <w:footnoteReference w:id="8"/>
      </w:r>
    </w:p>
    <w:p w14:paraId="6D1B821B" w14:textId="2B651233" w:rsidR="00276441" w:rsidRPr="00F05000" w:rsidRDefault="00276441" w:rsidP="00806096">
      <w:pPr>
        <w:pStyle w:val="ListParagraph"/>
        <w:numPr>
          <w:ilvl w:val="0"/>
          <w:numId w:val="38"/>
        </w:numPr>
        <w:rPr>
          <w:rFonts w:cs="Arial"/>
        </w:rPr>
      </w:pPr>
      <w:r w:rsidRPr="00F05000">
        <w:rPr>
          <w:rFonts w:cs="Arial"/>
        </w:rPr>
        <w:t>chests of drawers</w:t>
      </w:r>
    </w:p>
    <w:p w14:paraId="535B41F7" w14:textId="5F77FDCD" w:rsidR="00276441" w:rsidRPr="00F05000" w:rsidRDefault="00276441" w:rsidP="00806096">
      <w:pPr>
        <w:pStyle w:val="ListParagraph"/>
        <w:numPr>
          <w:ilvl w:val="0"/>
          <w:numId w:val="38"/>
        </w:numPr>
        <w:rPr>
          <w:rFonts w:cs="Arial"/>
        </w:rPr>
      </w:pPr>
      <w:r w:rsidRPr="00F05000">
        <w:rPr>
          <w:rFonts w:cs="Arial"/>
        </w:rPr>
        <w:t>bookcases</w:t>
      </w:r>
    </w:p>
    <w:p w14:paraId="6EFE855B" w14:textId="1950820F" w:rsidR="00276441" w:rsidRPr="00F05000" w:rsidRDefault="00276441" w:rsidP="00806096">
      <w:pPr>
        <w:pStyle w:val="ListParagraph"/>
        <w:numPr>
          <w:ilvl w:val="0"/>
          <w:numId w:val="38"/>
        </w:numPr>
        <w:rPr>
          <w:rFonts w:cs="Arial"/>
        </w:rPr>
      </w:pPr>
      <w:r w:rsidRPr="00F05000">
        <w:rPr>
          <w:rFonts w:cs="Arial"/>
        </w:rPr>
        <w:t>wardrobes</w:t>
      </w:r>
    </w:p>
    <w:p w14:paraId="354EF217" w14:textId="7BC62363" w:rsidR="00276441" w:rsidRPr="00F05000" w:rsidRDefault="00276441" w:rsidP="00806096">
      <w:pPr>
        <w:pStyle w:val="ListParagraph"/>
        <w:numPr>
          <w:ilvl w:val="0"/>
          <w:numId w:val="38"/>
        </w:numPr>
        <w:rPr>
          <w:rFonts w:cs="Arial"/>
        </w:rPr>
      </w:pPr>
      <w:r w:rsidRPr="00F05000">
        <w:rPr>
          <w:rFonts w:cs="Arial"/>
        </w:rPr>
        <w:t>cabinets</w:t>
      </w:r>
      <w:r w:rsidR="00041BCC" w:rsidRPr="00F05000">
        <w:rPr>
          <w:rFonts w:cs="Arial"/>
        </w:rPr>
        <w:t>/cupboards</w:t>
      </w:r>
    </w:p>
    <w:p w14:paraId="30AA23EA" w14:textId="409EF2AB" w:rsidR="00276441" w:rsidRPr="00F05000" w:rsidRDefault="00276441" w:rsidP="00806096">
      <w:pPr>
        <w:pStyle w:val="ListParagraph"/>
        <w:numPr>
          <w:ilvl w:val="0"/>
          <w:numId w:val="38"/>
        </w:numPr>
        <w:rPr>
          <w:rFonts w:cs="Arial"/>
        </w:rPr>
      </w:pPr>
      <w:r w:rsidRPr="00F05000">
        <w:rPr>
          <w:rFonts w:cs="Arial"/>
        </w:rPr>
        <w:t>entertainment units</w:t>
      </w:r>
      <w:r w:rsidR="00371D37">
        <w:rPr>
          <w:rFonts w:cs="Arial"/>
        </w:rPr>
        <w:t>.</w:t>
      </w:r>
    </w:p>
    <w:p w14:paraId="567BB69D" w14:textId="3EF423F6" w:rsidR="00844C9C" w:rsidRPr="00E07CBB" w:rsidRDefault="00A25E1B" w:rsidP="00E07CBB">
      <w:pPr>
        <w:rPr>
          <w:rFonts w:cs="Arial"/>
          <w:shd w:val="clear" w:color="auto" w:fill="FFFFFF"/>
        </w:rPr>
      </w:pPr>
      <w:r w:rsidRPr="00022E9D">
        <w:rPr>
          <w:rFonts w:cs="Arial"/>
          <w:shd w:val="clear" w:color="auto" w:fill="FFFFFF"/>
        </w:rPr>
        <w:t>Storage furniture is often tall and wide with a high and forward centre of</w:t>
      </w:r>
      <w:r w:rsidR="00DB72C9">
        <w:rPr>
          <w:rFonts w:cs="Arial"/>
          <w:shd w:val="clear" w:color="auto" w:fill="FFFFFF"/>
        </w:rPr>
        <w:t xml:space="preserve"> </w:t>
      </w:r>
      <w:r w:rsidR="00364201">
        <w:rPr>
          <w:rFonts w:cs="Arial"/>
          <w:shd w:val="clear" w:color="auto" w:fill="FFFFFF"/>
        </w:rPr>
        <w:t>mass</w:t>
      </w:r>
      <w:r w:rsidRPr="00022E9D">
        <w:rPr>
          <w:rFonts w:cs="Arial"/>
          <w:shd w:val="clear" w:color="auto" w:fill="FFFFFF"/>
        </w:rPr>
        <w:t xml:space="preserve">. Opening drawers and doors brings the centre of </w:t>
      </w:r>
      <w:r w:rsidR="00364201">
        <w:rPr>
          <w:rFonts w:cs="Arial"/>
          <w:shd w:val="clear" w:color="auto" w:fill="FFFFFF"/>
        </w:rPr>
        <w:t xml:space="preserve">mass </w:t>
      </w:r>
      <w:r w:rsidRPr="00022E9D">
        <w:rPr>
          <w:rFonts w:cs="Arial"/>
          <w:shd w:val="clear" w:color="auto" w:fill="FFFFFF"/>
        </w:rPr>
        <w:t xml:space="preserve">further forward, increasing the toppling risk. </w:t>
      </w:r>
    </w:p>
    <w:p w14:paraId="0A308D65" w14:textId="7E5D25AF" w:rsidR="00276441" w:rsidRPr="00F05000" w:rsidRDefault="00276441" w:rsidP="00F05000">
      <w:pPr>
        <w:spacing w:before="120"/>
        <w:rPr>
          <w:rFonts w:cs="Arial"/>
        </w:rPr>
      </w:pPr>
      <w:r w:rsidRPr="00F05000">
        <w:rPr>
          <w:rFonts w:cs="Arial"/>
        </w:rPr>
        <w:t>The risk of instability resulting in furniture toppling is increased when:</w:t>
      </w:r>
    </w:p>
    <w:p w14:paraId="03AD16D0" w14:textId="4261A15F" w:rsidR="00276441" w:rsidRPr="00F05000" w:rsidRDefault="00276441" w:rsidP="00806096">
      <w:pPr>
        <w:pStyle w:val="ListParagraph"/>
        <w:numPr>
          <w:ilvl w:val="0"/>
          <w:numId w:val="39"/>
        </w:numPr>
        <w:rPr>
          <w:rFonts w:cs="Arial"/>
        </w:rPr>
      </w:pPr>
      <w:r w:rsidRPr="00F05000">
        <w:rPr>
          <w:rFonts w:cs="Arial"/>
        </w:rPr>
        <w:t>there is an uneven</w:t>
      </w:r>
      <w:r w:rsidR="00043B58" w:rsidRPr="00F05000">
        <w:rPr>
          <w:rFonts w:cs="Arial"/>
        </w:rPr>
        <w:t xml:space="preserve"> or top-heavy</w:t>
      </w:r>
      <w:r w:rsidRPr="00F05000">
        <w:rPr>
          <w:rFonts w:cs="Arial"/>
        </w:rPr>
        <w:t xml:space="preserve"> distribution of stored items </w:t>
      </w:r>
    </w:p>
    <w:p w14:paraId="2250E91B" w14:textId="4A0EC59D" w:rsidR="00276441" w:rsidRPr="00F05000" w:rsidRDefault="00276441" w:rsidP="00806096">
      <w:pPr>
        <w:pStyle w:val="ListParagraph"/>
        <w:numPr>
          <w:ilvl w:val="0"/>
          <w:numId w:val="39"/>
        </w:numPr>
        <w:rPr>
          <w:rFonts w:cs="Arial"/>
        </w:rPr>
      </w:pPr>
      <w:r w:rsidRPr="00F05000">
        <w:rPr>
          <w:rFonts w:cs="Arial"/>
        </w:rPr>
        <w:t>heavy items</w:t>
      </w:r>
      <w:r w:rsidR="00043B58" w:rsidRPr="00F05000">
        <w:rPr>
          <w:rFonts w:cs="Arial"/>
        </w:rPr>
        <w:t xml:space="preserve"> or televisions</w:t>
      </w:r>
      <w:r w:rsidRPr="00F05000">
        <w:rPr>
          <w:rFonts w:cs="Arial"/>
        </w:rPr>
        <w:t xml:space="preserve"> are placed on top of furniture</w:t>
      </w:r>
    </w:p>
    <w:p w14:paraId="212F55FB" w14:textId="3A673E68" w:rsidR="00022E9D" w:rsidRPr="00B516F5" w:rsidRDefault="00276441" w:rsidP="00806096">
      <w:pPr>
        <w:pStyle w:val="ListParagraph"/>
        <w:numPr>
          <w:ilvl w:val="0"/>
          <w:numId w:val="39"/>
        </w:numPr>
        <w:rPr>
          <w:rFonts w:cs="Arial"/>
        </w:rPr>
      </w:pPr>
      <w:r w:rsidRPr="00F05000">
        <w:rPr>
          <w:rFonts w:cs="Arial"/>
        </w:rPr>
        <w:t xml:space="preserve">children swing on open doors or use drawers to climb on furniture. </w:t>
      </w:r>
    </w:p>
    <w:p w14:paraId="254B3F4D" w14:textId="248EC1AE" w:rsidR="00FB31A8" w:rsidRDefault="00276441" w:rsidP="00F05000">
      <w:pPr>
        <w:pStyle w:val="CommentText"/>
        <w:spacing w:before="120"/>
        <w:rPr>
          <w:rFonts w:cs="Arial"/>
          <w:sz w:val="22"/>
          <w:szCs w:val="22"/>
        </w:rPr>
      </w:pPr>
      <w:r w:rsidRPr="00F05000">
        <w:rPr>
          <w:rFonts w:cs="Arial"/>
          <w:sz w:val="22"/>
          <w:szCs w:val="22"/>
        </w:rPr>
        <w:t xml:space="preserve">The </w:t>
      </w:r>
      <w:r w:rsidR="003B70D6" w:rsidRPr="00F05000">
        <w:rPr>
          <w:rFonts w:cs="Arial"/>
          <w:sz w:val="22"/>
          <w:szCs w:val="22"/>
        </w:rPr>
        <w:t>option</w:t>
      </w:r>
      <w:r w:rsidR="00864CA3">
        <w:rPr>
          <w:rFonts w:cs="Arial"/>
          <w:sz w:val="22"/>
          <w:szCs w:val="22"/>
        </w:rPr>
        <w:t>s</w:t>
      </w:r>
      <w:r w:rsidR="003B70D6" w:rsidRPr="00F05000">
        <w:rPr>
          <w:rFonts w:cs="Arial"/>
          <w:sz w:val="22"/>
          <w:szCs w:val="22"/>
        </w:rPr>
        <w:t xml:space="preserve"> proposed</w:t>
      </w:r>
      <w:r w:rsidRPr="00F05000">
        <w:rPr>
          <w:rFonts w:cs="Arial"/>
          <w:sz w:val="22"/>
          <w:szCs w:val="22"/>
        </w:rPr>
        <w:t xml:space="preserve"> in this </w:t>
      </w:r>
      <w:r w:rsidR="005F7DA3">
        <w:rPr>
          <w:rFonts w:cs="Arial"/>
          <w:sz w:val="22"/>
          <w:szCs w:val="22"/>
        </w:rPr>
        <w:t>f</w:t>
      </w:r>
      <w:r w:rsidR="00E61B73" w:rsidRPr="00F05000">
        <w:rPr>
          <w:rFonts w:cs="Arial"/>
          <w:sz w:val="22"/>
          <w:szCs w:val="22"/>
        </w:rPr>
        <w:t xml:space="preserve">inal </w:t>
      </w:r>
      <w:r w:rsidR="005F7DA3">
        <w:rPr>
          <w:rFonts w:cs="Arial"/>
          <w:sz w:val="22"/>
          <w:szCs w:val="22"/>
        </w:rPr>
        <w:t>r</w:t>
      </w:r>
      <w:r w:rsidR="00E61B73" w:rsidRPr="00F05000">
        <w:rPr>
          <w:rFonts w:cs="Arial"/>
          <w:sz w:val="22"/>
          <w:szCs w:val="22"/>
        </w:rPr>
        <w:t>ecommendation</w:t>
      </w:r>
      <w:r w:rsidRPr="00F05000">
        <w:rPr>
          <w:rFonts w:cs="Arial"/>
          <w:sz w:val="22"/>
          <w:szCs w:val="22"/>
        </w:rPr>
        <w:t xml:space="preserve"> will apply to storage furniture </w:t>
      </w:r>
      <w:r w:rsidR="005B552E" w:rsidRPr="00F05000">
        <w:rPr>
          <w:rFonts w:cs="Arial"/>
          <w:sz w:val="22"/>
          <w:szCs w:val="22"/>
        </w:rPr>
        <w:t>including</w:t>
      </w:r>
      <w:r w:rsidRPr="00F05000">
        <w:rPr>
          <w:rFonts w:cs="Arial"/>
          <w:sz w:val="22"/>
          <w:szCs w:val="22"/>
        </w:rPr>
        <w:t xml:space="preserve"> chest of drawers, </w:t>
      </w:r>
      <w:r w:rsidR="004F12A5" w:rsidRPr="00F05000">
        <w:rPr>
          <w:rFonts w:cs="Arial"/>
          <w:sz w:val="22"/>
          <w:szCs w:val="22"/>
        </w:rPr>
        <w:t>cabinets,</w:t>
      </w:r>
      <w:r w:rsidRPr="00F05000">
        <w:rPr>
          <w:rFonts w:cs="Arial"/>
          <w:sz w:val="22"/>
          <w:szCs w:val="22"/>
        </w:rPr>
        <w:t xml:space="preserve"> and wardrobes, with a height </w:t>
      </w:r>
      <w:r w:rsidR="00684800">
        <w:rPr>
          <w:rFonts w:cs="Arial"/>
          <w:sz w:val="22"/>
          <w:szCs w:val="22"/>
        </w:rPr>
        <w:t xml:space="preserve">above </w:t>
      </w:r>
      <w:r w:rsidRPr="00F05000">
        <w:rPr>
          <w:rFonts w:cs="Arial"/>
          <w:sz w:val="22"/>
          <w:szCs w:val="22"/>
        </w:rPr>
        <w:t>500</w:t>
      </w:r>
      <w:r w:rsidR="00684800">
        <w:rPr>
          <w:rFonts w:cs="Arial"/>
          <w:sz w:val="22"/>
          <w:szCs w:val="22"/>
        </w:rPr>
        <w:t>mm</w:t>
      </w:r>
      <w:r w:rsidR="005B552E" w:rsidRPr="00F05000">
        <w:rPr>
          <w:rFonts w:cs="Arial"/>
          <w:sz w:val="22"/>
          <w:szCs w:val="22"/>
        </w:rPr>
        <w:t xml:space="preserve">; </w:t>
      </w:r>
      <w:r w:rsidR="00B516F5" w:rsidRPr="00F05000">
        <w:rPr>
          <w:rFonts w:cs="Arial"/>
          <w:sz w:val="22"/>
          <w:szCs w:val="22"/>
        </w:rPr>
        <w:t>book</w:t>
      </w:r>
      <w:r w:rsidR="00B516F5">
        <w:rPr>
          <w:rFonts w:cs="Arial"/>
          <w:sz w:val="22"/>
          <w:szCs w:val="22"/>
        </w:rPr>
        <w:t xml:space="preserve">cases </w:t>
      </w:r>
      <w:r w:rsidRPr="00F05000">
        <w:rPr>
          <w:rFonts w:cs="Arial"/>
          <w:sz w:val="22"/>
          <w:szCs w:val="22"/>
        </w:rPr>
        <w:t xml:space="preserve">with a height </w:t>
      </w:r>
      <w:r w:rsidR="00684800">
        <w:rPr>
          <w:rFonts w:cs="Arial"/>
          <w:sz w:val="22"/>
          <w:szCs w:val="22"/>
        </w:rPr>
        <w:t>above</w:t>
      </w:r>
      <w:r w:rsidR="00684800" w:rsidRPr="00F05000">
        <w:rPr>
          <w:rFonts w:cs="Arial"/>
          <w:sz w:val="22"/>
          <w:szCs w:val="22"/>
        </w:rPr>
        <w:t xml:space="preserve"> </w:t>
      </w:r>
      <w:r w:rsidRPr="00F05000">
        <w:rPr>
          <w:rFonts w:cs="Arial"/>
          <w:sz w:val="22"/>
          <w:szCs w:val="22"/>
        </w:rPr>
        <w:t>600mm</w:t>
      </w:r>
      <w:r w:rsidR="005B552E" w:rsidRPr="00F05000">
        <w:rPr>
          <w:rFonts w:cs="Arial"/>
          <w:sz w:val="22"/>
          <w:szCs w:val="22"/>
        </w:rPr>
        <w:t xml:space="preserve">; and </w:t>
      </w:r>
      <w:r w:rsidR="00A60CE0" w:rsidRPr="00F05000">
        <w:rPr>
          <w:rFonts w:cs="Arial"/>
          <w:sz w:val="22"/>
          <w:szCs w:val="22"/>
        </w:rPr>
        <w:t>hall tables</w:t>
      </w:r>
      <w:r w:rsidR="005B552E" w:rsidRPr="00F05000">
        <w:rPr>
          <w:rFonts w:cs="Arial"/>
          <w:sz w:val="22"/>
          <w:szCs w:val="22"/>
        </w:rPr>
        <w:t xml:space="preserve">, display cabinets, buffets, </w:t>
      </w:r>
      <w:r w:rsidR="00A60CE0" w:rsidRPr="00F05000">
        <w:rPr>
          <w:rFonts w:cs="Arial"/>
          <w:sz w:val="22"/>
          <w:szCs w:val="22"/>
        </w:rPr>
        <w:t>sideboards</w:t>
      </w:r>
      <w:r w:rsidR="005B552E" w:rsidRPr="00F05000">
        <w:rPr>
          <w:rFonts w:cs="Arial"/>
          <w:sz w:val="22"/>
          <w:szCs w:val="22"/>
        </w:rPr>
        <w:t xml:space="preserve"> with a height </w:t>
      </w:r>
      <w:r w:rsidR="00684800">
        <w:rPr>
          <w:rFonts w:cs="Arial"/>
          <w:sz w:val="22"/>
          <w:szCs w:val="22"/>
        </w:rPr>
        <w:t>above</w:t>
      </w:r>
      <w:r w:rsidR="00684800" w:rsidRPr="00F05000">
        <w:rPr>
          <w:rFonts w:cs="Arial"/>
          <w:sz w:val="22"/>
          <w:szCs w:val="22"/>
        </w:rPr>
        <w:t xml:space="preserve"> </w:t>
      </w:r>
      <w:r w:rsidR="005B552E" w:rsidRPr="00F05000">
        <w:rPr>
          <w:rFonts w:cs="Arial"/>
          <w:sz w:val="22"/>
          <w:szCs w:val="22"/>
        </w:rPr>
        <w:t>500mm.</w:t>
      </w:r>
      <w:r w:rsidR="00084A41">
        <w:rPr>
          <w:rStyle w:val="FootnoteReference"/>
          <w:rFonts w:cs="Arial"/>
          <w:sz w:val="22"/>
          <w:szCs w:val="22"/>
        </w:rPr>
        <w:footnoteReference w:id="9"/>
      </w:r>
      <w:r w:rsidR="005B552E" w:rsidRPr="00F05000">
        <w:rPr>
          <w:rFonts w:cs="Arial"/>
          <w:sz w:val="22"/>
          <w:szCs w:val="22"/>
        </w:rPr>
        <w:t xml:space="preserve"> </w:t>
      </w:r>
    </w:p>
    <w:p w14:paraId="7141141F" w14:textId="2C467034" w:rsidR="00276441" w:rsidRPr="00F05000" w:rsidRDefault="00276441" w:rsidP="00F05000">
      <w:pPr>
        <w:pStyle w:val="CommentText"/>
        <w:spacing w:before="120"/>
        <w:rPr>
          <w:rFonts w:cs="Arial"/>
          <w:sz w:val="22"/>
          <w:szCs w:val="22"/>
        </w:rPr>
      </w:pPr>
      <w:r w:rsidRPr="00F05000">
        <w:rPr>
          <w:rFonts w:cs="Arial"/>
          <w:sz w:val="22"/>
          <w:szCs w:val="22"/>
        </w:rPr>
        <w:t xml:space="preserve">No minimum height has been set for entertainment units </w:t>
      </w:r>
      <w:r w:rsidR="005E2215" w:rsidRPr="00F05000">
        <w:rPr>
          <w:rFonts w:cs="Arial"/>
          <w:sz w:val="22"/>
          <w:szCs w:val="22"/>
        </w:rPr>
        <w:t>as</w:t>
      </w:r>
      <w:r w:rsidRPr="00F05000">
        <w:rPr>
          <w:rFonts w:cs="Arial"/>
          <w:sz w:val="22"/>
          <w:szCs w:val="22"/>
        </w:rPr>
        <w:t xml:space="preserve"> there is a greater need for stability and anchoring when televisions are placed on top of them</w:t>
      </w:r>
      <w:r w:rsidR="00CC2F52">
        <w:rPr>
          <w:rFonts w:cs="Arial"/>
          <w:sz w:val="22"/>
          <w:szCs w:val="22"/>
        </w:rPr>
        <w:t xml:space="preserve"> regardless of height</w:t>
      </w:r>
      <w:r w:rsidRPr="00F05000">
        <w:rPr>
          <w:rFonts w:cs="Arial"/>
          <w:sz w:val="22"/>
          <w:szCs w:val="22"/>
        </w:rPr>
        <w:t xml:space="preserve">. </w:t>
      </w:r>
      <w:r w:rsidR="005E2215" w:rsidRPr="00F05000">
        <w:rPr>
          <w:rFonts w:cs="Arial"/>
          <w:sz w:val="22"/>
          <w:szCs w:val="22"/>
        </w:rPr>
        <w:t xml:space="preserve">This is due to the risk of televisions toppling </w:t>
      </w:r>
      <w:r w:rsidR="00022E9D">
        <w:rPr>
          <w:rFonts w:cs="Arial"/>
          <w:sz w:val="22"/>
          <w:szCs w:val="22"/>
        </w:rPr>
        <w:t>if they are unsecured or the</w:t>
      </w:r>
      <w:r w:rsidR="005E2215" w:rsidRPr="00F05000">
        <w:rPr>
          <w:rFonts w:cs="Arial"/>
          <w:sz w:val="22"/>
          <w:szCs w:val="22"/>
        </w:rPr>
        <w:t xml:space="preserve"> unit is unbalanced</w:t>
      </w:r>
      <w:r w:rsidR="002575DE">
        <w:rPr>
          <w:rFonts w:cs="Arial"/>
          <w:sz w:val="22"/>
          <w:szCs w:val="22"/>
        </w:rPr>
        <w:t xml:space="preserve"> by the television</w:t>
      </w:r>
      <w:r w:rsidR="005E2215" w:rsidRPr="00F05000">
        <w:rPr>
          <w:rFonts w:cs="Arial"/>
          <w:sz w:val="22"/>
          <w:szCs w:val="22"/>
        </w:rPr>
        <w:t>.</w:t>
      </w:r>
    </w:p>
    <w:p w14:paraId="68ADCD70" w14:textId="77777777" w:rsidR="00276441" w:rsidRPr="00FB5248" w:rsidRDefault="00276441" w:rsidP="00F05000">
      <w:pPr>
        <w:pStyle w:val="Heading2"/>
        <w:spacing w:before="120"/>
      </w:pPr>
      <w:bookmarkStart w:id="251" w:name="_Toc126074103"/>
      <w:r w:rsidRPr="00DB673C">
        <w:t>Exclusions</w:t>
      </w:r>
      <w:bookmarkEnd w:id="251"/>
      <w:r w:rsidRPr="00FB5248">
        <w:t xml:space="preserve"> </w:t>
      </w:r>
    </w:p>
    <w:p w14:paraId="6EAF3C58" w14:textId="3D5CBF53" w:rsidR="00276441" w:rsidRPr="004C396F" w:rsidRDefault="00276441">
      <w:pPr>
        <w:spacing w:before="120"/>
        <w:rPr>
          <w:rFonts w:cs="Arial"/>
          <w:color w:val="000000"/>
        </w:rPr>
      </w:pPr>
      <w:r w:rsidRPr="004C396F">
        <w:rPr>
          <w:rFonts w:cs="Arial"/>
          <w:color w:val="000000"/>
        </w:rPr>
        <w:t xml:space="preserve">Televisions are broadly consistent with storage furniture in terms of the nature of the toppling hazard, </w:t>
      </w:r>
      <w:r w:rsidR="00844C9C">
        <w:rPr>
          <w:rFonts w:cs="Arial"/>
          <w:color w:val="000000"/>
        </w:rPr>
        <w:t xml:space="preserve">recommended </w:t>
      </w:r>
      <w:r w:rsidRPr="004C396F">
        <w:rPr>
          <w:rFonts w:cs="Arial"/>
          <w:color w:val="000000"/>
        </w:rPr>
        <w:t>safety measures and those most vulnerable (</w:t>
      </w:r>
      <w:r w:rsidR="00041BCC">
        <w:rPr>
          <w:rFonts w:cs="Arial"/>
          <w:color w:val="000000"/>
        </w:rPr>
        <w:t xml:space="preserve">children aged </w:t>
      </w:r>
      <w:r w:rsidR="000A54E2">
        <w:rPr>
          <w:rFonts w:cs="Arial"/>
          <w:color w:val="000000"/>
        </w:rPr>
        <w:t>4</w:t>
      </w:r>
      <w:r w:rsidR="00041BCC">
        <w:rPr>
          <w:rFonts w:cs="Arial"/>
          <w:color w:val="000000"/>
        </w:rPr>
        <w:t xml:space="preserve"> years or younger</w:t>
      </w:r>
      <w:r w:rsidRPr="004C396F">
        <w:rPr>
          <w:rFonts w:cs="Arial"/>
          <w:color w:val="000000"/>
        </w:rPr>
        <w:t xml:space="preserve">). </w:t>
      </w:r>
    </w:p>
    <w:p w14:paraId="53AAE312" w14:textId="44EC0968" w:rsidR="00276441" w:rsidRPr="004C396F" w:rsidRDefault="00276441" w:rsidP="00F05000">
      <w:pPr>
        <w:spacing w:before="120"/>
      </w:pPr>
      <w:r w:rsidRPr="004C396F">
        <w:rPr>
          <w:rFonts w:cs="Arial"/>
          <w:color w:val="000000"/>
        </w:rPr>
        <w:t>Since 2000</w:t>
      </w:r>
      <w:r w:rsidR="002575DE">
        <w:rPr>
          <w:rFonts w:cs="Arial"/>
          <w:color w:val="000000"/>
        </w:rPr>
        <w:t>,</w:t>
      </w:r>
      <w:r w:rsidR="00FB31A8">
        <w:rPr>
          <w:rFonts w:cs="Arial"/>
          <w:color w:val="000000"/>
        </w:rPr>
        <w:t xml:space="preserve"> </w:t>
      </w:r>
      <w:r w:rsidRPr="004C396F">
        <w:rPr>
          <w:rFonts w:cs="Arial"/>
          <w:color w:val="000000"/>
        </w:rPr>
        <w:t xml:space="preserve">the ACCC is aware of one </w:t>
      </w:r>
      <w:r w:rsidRPr="004C396F">
        <w:t>death caused by a television falling that did not also involve furniture, and</w:t>
      </w:r>
      <w:r w:rsidRPr="004C396F">
        <w:rPr>
          <w:rFonts w:cs="Arial"/>
          <w:color w:val="000000"/>
        </w:rPr>
        <w:t xml:space="preserve"> </w:t>
      </w:r>
      <w:r w:rsidRPr="004C396F">
        <w:t>the frequency of injuries associated with televisions toppling has been steadily decreasing in Australia since 2010.</w:t>
      </w:r>
      <w:r w:rsidRPr="004C396F">
        <w:rPr>
          <w:rStyle w:val="FootnoteReference"/>
        </w:rPr>
        <w:footnoteReference w:id="10"/>
      </w:r>
      <w:r w:rsidRPr="004C396F">
        <w:t xml:space="preserve"> In addition, in 2019, a regulatory framework for televisions was introduced, which addresses stability, anchoring, and safety information to accompany the product.</w:t>
      </w:r>
      <w:r w:rsidRPr="004C396F">
        <w:rPr>
          <w:rStyle w:val="FootnoteReference"/>
        </w:rPr>
        <w:footnoteReference w:id="11"/>
      </w:r>
      <w:r w:rsidRPr="004C396F">
        <w:t xml:space="preserve"> </w:t>
      </w:r>
    </w:p>
    <w:p w14:paraId="5DD600FB" w14:textId="5BDABE67" w:rsidR="00276441" w:rsidRPr="004C396F" w:rsidRDefault="00276441" w:rsidP="006B78C7">
      <w:r w:rsidRPr="004C396F">
        <w:t xml:space="preserve">To prevent regulatory duplication, the ACCC has </w:t>
      </w:r>
      <w:r w:rsidR="007810C0">
        <w:t xml:space="preserve">not </w:t>
      </w:r>
      <w:r w:rsidRPr="004C396F">
        <w:t>include</w:t>
      </w:r>
      <w:r w:rsidR="007810C0">
        <w:t>d</w:t>
      </w:r>
      <w:r w:rsidRPr="004C396F">
        <w:t xml:space="preserve"> televisions within </w:t>
      </w:r>
      <w:r w:rsidR="007810C0">
        <w:t xml:space="preserve">the </w:t>
      </w:r>
      <w:r w:rsidRPr="004C396F">
        <w:t xml:space="preserve">scope of </w:t>
      </w:r>
      <w:r w:rsidR="00A85EE1">
        <w:t>this recommendation</w:t>
      </w:r>
      <w:r w:rsidRPr="004C396F">
        <w:t>.</w:t>
      </w:r>
      <w:r>
        <w:t xml:space="preserve"> </w:t>
      </w:r>
      <w:r w:rsidRPr="004C396F">
        <w:t xml:space="preserve">Other furniture items, such </w:t>
      </w:r>
      <w:r w:rsidR="001744B2">
        <w:t xml:space="preserve">as </w:t>
      </w:r>
      <w:r w:rsidRPr="004C396F">
        <w:t xml:space="preserve">chairs, </w:t>
      </w:r>
      <w:r w:rsidR="00A60CE0">
        <w:t xml:space="preserve">also </w:t>
      </w:r>
      <w:r w:rsidR="00C9218B">
        <w:t xml:space="preserve">appear </w:t>
      </w:r>
      <w:r w:rsidR="00C9218B" w:rsidRPr="004C396F">
        <w:t>in</w:t>
      </w:r>
      <w:r w:rsidRPr="004C396F">
        <w:t xml:space="preserve"> injury data</w:t>
      </w:r>
      <w:r w:rsidR="00493DC0">
        <w:t>. H</w:t>
      </w:r>
      <w:r w:rsidRPr="004C396F">
        <w:t>owever, these furniture types</w:t>
      </w:r>
      <w:r w:rsidR="007810C0">
        <w:t xml:space="preserve"> have not been explored</w:t>
      </w:r>
      <w:r w:rsidRPr="004C396F">
        <w:t xml:space="preserve"> further at this time due to:</w:t>
      </w:r>
    </w:p>
    <w:p w14:paraId="4DC56CA1" w14:textId="599F3508" w:rsidR="00084A41" w:rsidRDefault="00084A41" w:rsidP="00806096">
      <w:pPr>
        <w:pStyle w:val="ListParagraph"/>
        <w:numPr>
          <w:ilvl w:val="0"/>
          <w:numId w:val="30"/>
        </w:numPr>
        <w:tabs>
          <w:tab w:val="clear" w:pos="340"/>
        </w:tabs>
        <w:ind w:left="426" w:hanging="284"/>
      </w:pPr>
      <w:r w:rsidRPr="004C396F">
        <w:t>data which suggests the injuries are less serious when compared to storage furniture.</w:t>
      </w:r>
      <w:r>
        <w:rPr>
          <w:rStyle w:val="FootnoteReference"/>
        </w:rPr>
        <w:footnoteReference w:id="12"/>
      </w:r>
    </w:p>
    <w:p w14:paraId="75F0760C" w14:textId="57E3502D" w:rsidR="00276441" w:rsidRPr="004C396F" w:rsidRDefault="00276441" w:rsidP="00806096">
      <w:pPr>
        <w:pStyle w:val="ListParagraph"/>
        <w:numPr>
          <w:ilvl w:val="0"/>
          <w:numId w:val="30"/>
        </w:numPr>
        <w:tabs>
          <w:tab w:val="clear" w:pos="340"/>
        </w:tabs>
        <w:ind w:left="426" w:hanging="284"/>
      </w:pPr>
      <w:r w:rsidRPr="004C396F">
        <w:t>variability of designs, which makes regulatory measures relating to stability unfeasible</w:t>
      </w:r>
    </w:p>
    <w:p w14:paraId="1E153C23" w14:textId="0F513907" w:rsidR="00AF70A6" w:rsidRDefault="00276441" w:rsidP="00806096">
      <w:pPr>
        <w:pStyle w:val="ListParagraph"/>
        <w:numPr>
          <w:ilvl w:val="0"/>
          <w:numId w:val="30"/>
        </w:numPr>
        <w:tabs>
          <w:tab w:val="clear" w:pos="340"/>
        </w:tabs>
        <w:ind w:left="426" w:hanging="284"/>
      </w:pPr>
      <w:r w:rsidRPr="004C396F">
        <w:t>the impracticality of anchoring for this category of furniture</w:t>
      </w:r>
      <w:r w:rsidR="007B29AF">
        <w:t>.</w:t>
      </w:r>
    </w:p>
    <w:p w14:paraId="3A056A28" w14:textId="77777777" w:rsidR="00AF70A6" w:rsidRDefault="00AF70A6">
      <w:r>
        <w:br w:type="page"/>
      </w:r>
    </w:p>
    <w:p w14:paraId="48EDC75C" w14:textId="03F95502" w:rsidR="00053443" w:rsidRDefault="005D7C2B" w:rsidP="00F05000">
      <w:pPr>
        <w:pStyle w:val="Heading1"/>
        <w:spacing w:before="120"/>
      </w:pPr>
      <w:bookmarkStart w:id="252" w:name="_Toc126074104"/>
      <w:r>
        <w:t>Why is government action needed?</w:t>
      </w:r>
      <w:bookmarkEnd w:id="252"/>
    </w:p>
    <w:p w14:paraId="488A6350" w14:textId="248E0E3A" w:rsidR="006F4780" w:rsidRPr="00E03E7B" w:rsidRDefault="0039387D" w:rsidP="006F4780">
      <w:pPr>
        <w:pStyle w:val="CommentText"/>
        <w:rPr>
          <w:sz w:val="22"/>
          <w:szCs w:val="22"/>
        </w:rPr>
      </w:pPr>
      <w:r>
        <w:rPr>
          <w:sz w:val="22"/>
          <w:szCs w:val="22"/>
        </w:rPr>
        <w:t>From</w:t>
      </w:r>
      <w:r w:rsidR="006F4780" w:rsidRPr="00E03E7B">
        <w:rPr>
          <w:sz w:val="22"/>
          <w:szCs w:val="22"/>
        </w:rPr>
        <w:t xml:space="preserve"> 2000</w:t>
      </w:r>
      <w:r>
        <w:rPr>
          <w:sz w:val="22"/>
          <w:szCs w:val="22"/>
        </w:rPr>
        <w:t xml:space="preserve"> to the present</w:t>
      </w:r>
      <w:r w:rsidR="006F4780" w:rsidRPr="00E03E7B">
        <w:rPr>
          <w:sz w:val="22"/>
          <w:szCs w:val="22"/>
        </w:rPr>
        <w:t>, toppling furniture has been linked with at least 28 deaths</w:t>
      </w:r>
      <w:r w:rsidR="00810F9F">
        <w:rPr>
          <w:sz w:val="22"/>
          <w:szCs w:val="22"/>
        </w:rPr>
        <w:t xml:space="preserve"> in Australia,</w:t>
      </w:r>
      <w:r w:rsidR="00847A3D">
        <w:rPr>
          <w:rStyle w:val="FootnoteReference"/>
        </w:rPr>
        <w:footnoteReference w:id="13"/>
      </w:r>
      <w:r w:rsidR="006F4780" w:rsidRPr="00E03E7B">
        <w:rPr>
          <w:sz w:val="22"/>
          <w:szCs w:val="22"/>
        </w:rPr>
        <w:t xml:space="preserve"> and is estimated to cause at least 900 injuries </w:t>
      </w:r>
      <w:r w:rsidR="00134666">
        <w:rPr>
          <w:sz w:val="22"/>
          <w:szCs w:val="22"/>
        </w:rPr>
        <w:t>each</w:t>
      </w:r>
      <w:r w:rsidR="006F4780" w:rsidRPr="00E03E7B">
        <w:rPr>
          <w:sz w:val="22"/>
          <w:szCs w:val="22"/>
        </w:rPr>
        <w:t xml:space="preserve"> year that require medical treatment. In dollar terms, the cost to government is at least $8 million dollars a year, and the true cost to families and communities is incalculable. </w:t>
      </w:r>
      <w:r w:rsidR="002232EB">
        <w:rPr>
          <w:sz w:val="22"/>
          <w:szCs w:val="22"/>
        </w:rPr>
        <w:t xml:space="preserve">The ACCC considers toppling furniture poses an unacceptable risk to human safety, particularly </w:t>
      </w:r>
      <w:r w:rsidR="00DA27B6">
        <w:rPr>
          <w:sz w:val="22"/>
          <w:szCs w:val="22"/>
        </w:rPr>
        <w:t xml:space="preserve">for </w:t>
      </w:r>
      <w:r w:rsidR="002232EB">
        <w:rPr>
          <w:sz w:val="22"/>
          <w:szCs w:val="22"/>
        </w:rPr>
        <w:t xml:space="preserve">vulnerable groups such as young children and elderly Australians. </w:t>
      </w:r>
    </w:p>
    <w:p w14:paraId="14E53F2B" w14:textId="660CBAA4" w:rsidR="00B178F5" w:rsidRDefault="00DB673C" w:rsidP="00F05000">
      <w:pPr>
        <w:spacing w:before="120"/>
      </w:pPr>
      <w:r w:rsidRPr="004C396F">
        <w:t>There is currently no mandatory</w:t>
      </w:r>
      <w:r w:rsidR="000B2B46">
        <w:t xml:space="preserve"> Australian or international</w:t>
      </w:r>
      <w:r w:rsidRPr="004C396F">
        <w:t xml:space="preserve"> </w:t>
      </w:r>
      <w:r w:rsidR="00A85EE1">
        <w:t>standard</w:t>
      </w:r>
      <w:r w:rsidRPr="004C396F">
        <w:t xml:space="preserve"> that addresses the </w:t>
      </w:r>
      <w:r w:rsidR="00F64252">
        <w:t xml:space="preserve">risks </w:t>
      </w:r>
      <w:r w:rsidRPr="004C396F">
        <w:t>associated with toppling</w:t>
      </w:r>
      <w:r w:rsidR="00A85EE1">
        <w:t xml:space="preserve"> storage</w:t>
      </w:r>
      <w:r w:rsidRPr="004C396F">
        <w:t xml:space="preserve"> furniture. There is also no general legislative provision restricting the supply of unsafe goods in Australia.</w:t>
      </w:r>
      <w:r w:rsidR="00F87DFB">
        <w:t xml:space="preserve"> This means there is currently no legal requirement for businesses to supply storage furniture</w:t>
      </w:r>
      <w:r w:rsidR="008D315F">
        <w:t xml:space="preserve"> </w:t>
      </w:r>
      <w:r w:rsidR="007810C0">
        <w:t xml:space="preserve">that </w:t>
      </w:r>
      <w:r w:rsidR="008D315F">
        <w:t>mitigate</w:t>
      </w:r>
      <w:r w:rsidR="007810C0">
        <w:t>s</w:t>
      </w:r>
      <w:r w:rsidR="008D315F">
        <w:t xml:space="preserve"> </w:t>
      </w:r>
      <w:r w:rsidR="00633FA1">
        <w:t xml:space="preserve">toppling </w:t>
      </w:r>
      <w:r w:rsidR="008D315F">
        <w:t xml:space="preserve">safety risks </w:t>
      </w:r>
      <w:r w:rsidR="00F87DFB">
        <w:t xml:space="preserve">and no enforcement avenue </w:t>
      </w:r>
      <w:r w:rsidR="00633FA1">
        <w:t xml:space="preserve">to address these </w:t>
      </w:r>
      <w:r w:rsidR="00DE241F">
        <w:t>risks</w:t>
      </w:r>
      <w:r w:rsidR="00134666">
        <w:t>.</w:t>
      </w:r>
    </w:p>
    <w:p w14:paraId="11611BBE" w14:textId="4BA6E389" w:rsidR="00F307DA" w:rsidRDefault="00F307DA" w:rsidP="00F05000">
      <w:pPr>
        <w:spacing w:before="120"/>
      </w:pPr>
      <w:r>
        <w:t>Government action that requires a consistent direction for customer protection measures provides the strongest approach to achieving a positive outcome for the Australian community.</w:t>
      </w:r>
    </w:p>
    <w:p w14:paraId="377EB152" w14:textId="5A55D1FC" w:rsidR="00DA27B6" w:rsidRPr="00EB4A3E" w:rsidRDefault="006A2813" w:rsidP="007323B0">
      <w:pPr>
        <w:pStyle w:val="Heading2"/>
      </w:pPr>
      <w:bookmarkStart w:id="253" w:name="_Toc126074105"/>
      <w:r w:rsidRPr="001307E8">
        <w:t>Objectives of intervention</w:t>
      </w:r>
      <w:bookmarkEnd w:id="253"/>
    </w:p>
    <w:p w14:paraId="59152681" w14:textId="23911C23" w:rsidR="00D250F8" w:rsidRDefault="003D543E" w:rsidP="00F05000">
      <w:pPr>
        <w:spacing w:before="120"/>
      </w:pPr>
      <w:r>
        <w:t xml:space="preserve">The </w:t>
      </w:r>
      <w:r w:rsidR="00D460F3">
        <w:t xml:space="preserve">ultimate </w:t>
      </w:r>
      <w:r>
        <w:t>objective of</w:t>
      </w:r>
      <w:r w:rsidR="00160CAB">
        <w:t xml:space="preserve"> regulatory intervention </w:t>
      </w:r>
      <w:r>
        <w:t>is to</w:t>
      </w:r>
      <w:r w:rsidR="00160CAB">
        <w:t xml:space="preserve"> reduce deaths and injuries </w:t>
      </w:r>
      <w:r>
        <w:t>caused by</w:t>
      </w:r>
      <w:r w:rsidR="00277036">
        <w:t xml:space="preserve"> </w:t>
      </w:r>
      <w:r w:rsidR="00160CAB">
        <w:t>toppling furnitur</w:t>
      </w:r>
      <w:r w:rsidR="00650843">
        <w:t xml:space="preserve">e. </w:t>
      </w:r>
      <w:r w:rsidR="00A15CEE">
        <w:t>Improving consumer awareness about the risks posed by toppling furniture and strategies to mitigate the</w:t>
      </w:r>
      <w:r w:rsidR="002A753E">
        <w:t>se</w:t>
      </w:r>
      <w:r w:rsidR="00A15CEE">
        <w:t xml:space="preserve"> risks, </w:t>
      </w:r>
      <w:r w:rsidR="002A753E">
        <w:t>is expected to help</w:t>
      </w:r>
      <w:r w:rsidR="00A15CEE">
        <w:t xml:space="preserve"> achieve this outcome. </w:t>
      </w:r>
    </w:p>
    <w:p w14:paraId="156F362E" w14:textId="7D358857" w:rsidR="00A9072D" w:rsidRDefault="001A5935" w:rsidP="00F05000">
      <w:pPr>
        <w:spacing w:before="120"/>
      </w:pPr>
      <w:r>
        <w:t>Industry compliance is an important factor of</w:t>
      </w:r>
      <w:r w:rsidR="00160E32">
        <w:t xml:space="preserve"> regulatory intervention,</w:t>
      </w:r>
      <w:r>
        <w:t xml:space="preserve"> and </w:t>
      </w:r>
      <w:r w:rsidR="00D250F8">
        <w:t>non-compliance, whether deliberately or by omission</w:t>
      </w:r>
      <w:r>
        <w:t xml:space="preserve"> would </w:t>
      </w:r>
      <w:r w:rsidR="00F73802">
        <w:t>limit the effect of the regulation</w:t>
      </w:r>
      <w:r w:rsidR="00D250F8">
        <w:t xml:space="preserve">. For </w:t>
      </w:r>
      <w:r w:rsidR="00F73802">
        <w:t xml:space="preserve">an </w:t>
      </w:r>
      <w:r w:rsidR="00D250F8">
        <w:t xml:space="preserve">optimal outcome, retailers and the wider furniture industry must engage with the </w:t>
      </w:r>
      <w:r w:rsidR="00B06FBD">
        <w:t>regulation</w:t>
      </w:r>
      <w:r w:rsidR="00A9072D">
        <w:t>, meeting the prescribed requirements</w:t>
      </w:r>
      <w:r w:rsidR="00D250F8">
        <w:t xml:space="preserve"> and further promot</w:t>
      </w:r>
      <w:r w:rsidR="00B06FBD">
        <w:t>ing</w:t>
      </w:r>
      <w:r w:rsidR="00D250F8">
        <w:t xml:space="preserve"> the relevant information to </w:t>
      </w:r>
      <w:r w:rsidR="00A9072D">
        <w:t xml:space="preserve">consumers. </w:t>
      </w:r>
    </w:p>
    <w:p w14:paraId="56258F5C" w14:textId="0DC4DA15" w:rsidR="00160CAB" w:rsidRDefault="00844ECB" w:rsidP="00F05000">
      <w:pPr>
        <w:spacing w:before="120"/>
      </w:pPr>
      <w:r>
        <w:t>The</w:t>
      </w:r>
      <w:r w:rsidR="00A9072D">
        <w:t xml:space="preserve"> intervention must also resonate with consumers, in the purchase and use of the furniture. </w:t>
      </w:r>
      <w:r w:rsidR="00E8396D">
        <w:t xml:space="preserve">Should the intervention be unclear or be ignored, the intervention will have a diminished outcome. </w:t>
      </w:r>
    </w:p>
    <w:p w14:paraId="3C915E05" w14:textId="5F54F35A" w:rsidR="00844ECB" w:rsidRDefault="00277036" w:rsidP="00F05000">
      <w:pPr>
        <w:spacing w:before="120"/>
      </w:pPr>
      <w:r>
        <w:t>W</w:t>
      </w:r>
      <w:r w:rsidR="00844ECB" w:rsidRPr="00EB4A3E">
        <w:t xml:space="preserve">e expect that </w:t>
      </w:r>
      <w:r w:rsidR="009145B8">
        <w:t>an improvement in</w:t>
      </w:r>
      <w:r w:rsidR="00844ECB" w:rsidRPr="00EB4A3E">
        <w:t xml:space="preserve"> consumer awareness over </w:t>
      </w:r>
      <w:r w:rsidR="00844ECB" w:rsidRPr="00FB661F">
        <w:t>5 years</w:t>
      </w:r>
      <w:r w:rsidR="00844ECB" w:rsidRPr="00EB4A3E">
        <w:t xml:space="preserve"> will demonstrate</w:t>
      </w:r>
      <w:r w:rsidR="00844ECB">
        <w:t xml:space="preserve"> that the intervention has had a positive impact for Australian consumers. </w:t>
      </w:r>
    </w:p>
    <w:p w14:paraId="41E88DF5" w14:textId="77777777" w:rsidR="00DC412A" w:rsidRDefault="00DC412A" w:rsidP="00DC412A">
      <w:pPr>
        <w:pStyle w:val="Heading2"/>
        <w:spacing w:before="120"/>
      </w:pPr>
      <w:bookmarkStart w:id="254" w:name="_Toc124252312"/>
      <w:bookmarkStart w:id="255" w:name="_Toc124770637"/>
      <w:bookmarkStart w:id="256" w:name="_Toc113889766"/>
      <w:bookmarkStart w:id="257" w:name="_Toc113890718"/>
      <w:bookmarkStart w:id="258" w:name="_Toc113890812"/>
      <w:bookmarkStart w:id="259" w:name="_Toc113977081"/>
      <w:bookmarkStart w:id="260" w:name="_Toc114039180"/>
      <w:bookmarkStart w:id="261" w:name="_Toc114142848"/>
      <w:bookmarkStart w:id="262" w:name="_Toc114232547"/>
      <w:bookmarkStart w:id="263" w:name="_Toc114233025"/>
      <w:bookmarkStart w:id="264" w:name="_Toc114233502"/>
      <w:bookmarkStart w:id="265" w:name="_Toc115341161"/>
      <w:bookmarkStart w:id="266" w:name="_Toc115341670"/>
      <w:bookmarkStart w:id="267" w:name="_Toc115342179"/>
      <w:bookmarkStart w:id="268" w:name="_Toc116285585"/>
      <w:bookmarkStart w:id="269" w:name="_Toc116290677"/>
      <w:bookmarkStart w:id="270" w:name="_Toc99466235"/>
      <w:bookmarkStart w:id="271" w:name="_Toc126074106"/>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5D4886">
        <w:t xml:space="preserve">Deaths and </w:t>
      </w:r>
      <w:r w:rsidRPr="000E3E56">
        <w:t>injuries</w:t>
      </w:r>
      <w:bookmarkEnd w:id="270"/>
      <w:bookmarkEnd w:id="271"/>
    </w:p>
    <w:p w14:paraId="119AC1AE" w14:textId="127B441D" w:rsidR="00DC412A" w:rsidRPr="004C396F" w:rsidRDefault="00DC412A" w:rsidP="00DC412A">
      <w:pPr>
        <w:spacing w:before="120"/>
      </w:pPr>
      <w:r w:rsidRPr="004C396F">
        <w:t xml:space="preserve">In Australia, </w:t>
      </w:r>
      <w:r w:rsidR="00291ED6">
        <w:t>the majority</w:t>
      </w:r>
      <w:r w:rsidRPr="004C396F">
        <w:t xml:space="preserve"> of fatalities</w:t>
      </w:r>
      <w:r w:rsidR="00847A3D">
        <w:t xml:space="preserve"> </w:t>
      </w:r>
      <w:r w:rsidRPr="004C396F">
        <w:t xml:space="preserve">associated with </w:t>
      </w:r>
      <w:r>
        <w:t>toppling furniture</w:t>
      </w:r>
      <w:r w:rsidR="00847A3D">
        <w:t xml:space="preserve"> reported since 2000</w:t>
      </w:r>
      <w:r w:rsidRPr="004C396F">
        <w:t xml:space="preserve"> involve</w:t>
      </w:r>
      <w:r>
        <w:t>d</w:t>
      </w:r>
      <w:r w:rsidRPr="004C396F">
        <w:t xml:space="preserve"> children under 7 years of age</w:t>
      </w:r>
      <w:r>
        <w:t>.</w:t>
      </w:r>
      <w:r w:rsidRPr="004C396F">
        <w:t xml:space="preserve"> </w:t>
      </w:r>
      <w:r>
        <w:t>In the available data</w:t>
      </w:r>
      <w:r w:rsidRPr="004C396F">
        <w:t xml:space="preserve"> children </w:t>
      </w:r>
      <w:r>
        <w:t>aged 4 years and under</w:t>
      </w:r>
      <w:r w:rsidRPr="004C396F">
        <w:t xml:space="preserve"> account for </w:t>
      </w:r>
      <w:r>
        <w:t>a significant proportion</w:t>
      </w:r>
      <w:r w:rsidRPr="004C396F">
        <w:t xml:space="preserve"> of emergency department (ED) presentations</w:t>
      </w:r>
      <w:r>
        <w:t xml:space="preserve"> due to furniture tip overs.</w:t>
      </w:r>
    </w:p>
    <w:p w14:paraId="7904E33C" w14:textId="69352714" w:rsidR="00DC412A" w:rsidRPr="0012538F" w:rsidRDefault="00DC412A" w:rsidP="00DC412A">
      <w:pPr>
        <w:pStyle w:val="Heading3"/>
      </w:pPr>
      <w:bookmarkStart w:id="272" w:name="_Toc99465990"/>
      <w:bookmarkStart w:id="273" w:name="_Toc99466106"/>
      <w:bookmarkStart w:id="274" w:name="_Toc99466236"/>
      <w:bookmarkStart w:id="275" w:name="_Toc99466481"/>
      <w:bookmarkStart w:id="276" w:name="_Toc100214711"/>
      <w:bookmarkStart w:id="277" w:name="_Toc103020714"/>
      <w:bookmarkStart w:id="278" w:name="_Toc126074107"/>
      <w:r w:rsidRPr="0012538F">
        <w:t>Deaths</w:t>
      </w:r>
      <w:bookmarkEnd w:id="272"/>
      <w:bookmarkEnd w:id="273"/>
      <w:bookmarkEnd w:id="274"/>
      <w:bookmarkEnd w:id="275"/>
      <w:bookmarkEnd w:id="276"/>
      <w:bookmarkEnd w:id="277"/>
      <w:r w:rsidR="00945E42">
        <w:rPr>
          <w:rStyle w:val="FootnoteReference"/>
        </w:rPr>
        <w:footnoteReference w:id="14"/>
      </w:r>
      <w:bookmarkEnd w:id="278"/>
    </w:p>
    <w:p w14:paraId="316DC6B8" w14:textId="0F44B35B" w:rsidR="00DC412A" w:rsidRDefault="00DC412A" w:rsidP="00DC412A">
      <w:pPr>
        <w:spacing w:before="120"/>
      </w:pPr>
      <w:r w:rsidRPr="004C396F">
        <w:t>The most common cause</w:t>
      </w:r>
      <w:r>
        <w:t>s</w:t>
      </w:r>
      <w:r w:rsidRPr="004C396F">
        <w:t xml:space="preserve"> of death are head and crush related injuries</w:t>
      </w:r>
      <w:r>
        <w:t>,</w:t>
      </w:r>
      <w:r w:rsidRPr="004C396F">
        <w:t xml:space="preserve"> and asphyxiation. </w:t>
      </w:r>
      <w:r w:rsidR="00CC2C10">
        <w:t xml:space="preserve"> </w:t>
      </w:r>
      <w:r w:rsidR="001B3209">
        <w:t xml:space="preserve">17 of the 28 </w:t>
      </w:r>
      <w:r w:rsidR="008E7A31">
        <w:t xml:space="preserve">identified </w:t>
      </w:r>
      <w:r w:rsidRPr="004C396F">
        <w:t xml:space="preserve">deaths involve children aged 4 years and under, and older Australians (60 or older) </w:t>
      </w:r>
      <w:r>
        <w:t>comprise</w:t>
      </w:r>
      <w:r w:rsidRPr="004C396F">
        <w:t xml:space="preserve"> </w:t>
      </w:r>
      <w:r w:rsidR="00E63D55">
        <w:t>4</w:t>
      </w:r>
      <w:r w:rsidR="00F60AFF">
        <w:t xml:space="preserve"> of the 28 deaths</w:t>
      </w:r>
      <w:r w:rsidRPr="004C396F">
        <w:t xml:space="preserve">. The number of deaths by product type since 2000 is shown in Table </w:t>
      </w:r>
      <w:r>
        <w:t>1</w:t>
      </w:r>
      <w:r w:rsidRPr="004C396F">
        <w:t xml:space="preserve">. </w:t>
      </w:r>
    </w:p>
    <w:p w14:paraId="0B28F52D" w14:textId="77777777" w:rsidR="00DC412A" w:rsidRDefault="00DC412A" w:rsidP="00DC412A">
      <w:pPr>
        <w:spacing w:before="120"/>
      </w:pPr>
    </w:p>
    <w:p w14:paraId="3D526D81" w14:textId="7FA0BA47" w:rsidR="00DC412A" w:rsidRPr="004C396F" w:rsidRDefault="00DC412A" w:rsidP="00DC412A">
      <w:pPr>
        <w:pStyle w:val="TableHeading"/>
        <w:spacing w:before="120" w:after="120"/>
      </w:pPr>
      <w:r w:rsidRPr="004C396F">
        <w:t xml:space="preserve">Table </w:t>
      </w:r>
      <w:r>
        <w:t>1</w:t>
      </w:r>
      <w:r w:rsidRPr="004C396F">
        <w:t xml:space="preserve">. Types of furniture associated with a death since 2000 </w:t>
      </w:r>
    </w:p>
    <w:tbl>
      <w:tblPr>
        <w:tblW w:w="8942" w:type="dxa"/>
        <w:jc w:val="center"/>
        <w:tblBorders>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4243"/>
        <w:gridCol w:w="4699"/>
      </w:tblGrid>
      <w:tr w:rsidR="00DC412A" w:rsidRPr="004C396F" w14:paraId="103D1354" w14:textId="77777777" w:rsidTr="00DC412A">
        <w:trPr>
          <w:trHeight w:val="280"/>
          <w:jc w:val="center"/>
        </w:trPr>
        <w:tc>
          <w:tcPr>
            <w:tcW w:w="4243" w:type="dxa"/>
            <w:tcBorders>
              <w:bottom w:val="single" w:sz="8" w:space="0" w:color="BFBFBF" w:themeColor="background1" w:themeShade="BF"/>
            </w:tcBorders>
            <w:shd w:val="clear" w:color="auto" w:fill="F2F2F2" w:themeFill="background1" w:themeFillShade="F2"/>
            <w:noWrap/>
            <w:tcMar>
              <w:top w:w="0" w:type="dxa"/>
              <w:left w:w="108" w:type="dxa"/>
              <w:bottom w:w="0" w:type="dxa"/>
              <w:right w:w="108" w:type="dxa"/>
            </w:tcMar>
            <w:vAlign w:val="bottom"/>
            <w:hideMark/>
          </w:tcPr>
          <w:p w14:paraId="1E3FC382" w14:textId="77777777" w:rsidR="00DC412A" w:rsidRPr="004C396F" w:rsidRDefault="00DC412A" w:rsidP="00DC412A">
            <w:pPr>
              <w:spacing w:before="120"/>
              <w:rPr>
                <w:b/>
                <w:bCs/>
                <w:sz w:val="20"/>
                <w:szCs w:val="20"/>
              </w:rPr>
            </w:pPr>
            <w:r w:rsidRPr="004C396F">
              <w:rPr>
                <w:b/>
                <w:bCs/>
                <w:color w:val="000000"/>
                <w:sz w:val="20"/>
                <w:szCs w:val="20"/>
              </w:rPr>
              <w:t>Product</w:t>
            </w:r>
          </w:p>
        </w:tc>
        <w:tc>
          <w:tcPr>
            <w:tcW w:w="4699" w:type="dxa"/>
            <w:tcBorders>
              <w:bottom w:val="single" w:sz="8" w:space="0" w:color="BFBFBF" w:themeColor="background1" w:themeShade="BF"/>
            </w:tcBorders>
            <w:shd w:val="clear" w:color="auto" w:fill="F2F2F2" w:themeFill="background1" w:themeFillShade="F2"/>
            <w:noWrap/>
            <w:tcMar>
              <w:top w:w="0" w:type="dxa"/>
              <w:left w:w="108" w:type="dxa"/>
              <w:bottom w:w="0" w:type="dxa"/>
              <w:right w:w="108" w:type="dxa"/>
            </w:tcMar>
            <w:vAlign w:val="bottom"/>
            <w:hideMark/>
          </w:tcPr>
          <w:p w14:paraId="0F3C1D4F" w14:textId="77777777" w:rsidR="00DC412A" w:rsidRPr="004C396F" w:rsidRDefault="00DC412A" w:rsidP="00DC412A">
            <w:pPr>
              <w:spacing w:before="120"/>
              <w:rPr>
                <w:b/>
                <w:bCs/>
                <w:sz w:val="20"/>
                <w:szCs w:val="20"/>
              </w:rPr>
            </w:pPr>
            <w:r w:rsidRPr="004C396F">
              <w:rPr>
                <w:b/>
                <w:bCs/>
                <w:color w:val="000000"/>
                <w:sz w:val="20"/>
                <w:szCs w:val="20"/>
              </w:rPr>
              <w:t>Number of incidents involving a death</w:t>
            </w:r>
          </w:p>
        </w:tc>
      </w:tr>
      <w:tr w:rsidR="00DC412A" w:rsidRPr="004C396F" w14:paraId="4F0963E2" w14:textId="77777777" w:rsidTr="00DC412A">
        <w:trPr>
          <w:trHeight w:val="280"/>
          <w:jc w:val="center"/>
        </w:trPr>
        <w:tc>
          <w:tcPr>
            <w:tcW w:w="4243" w:type="dxa"/>
            <w:tcBorders>
              <w:top w:val="single" w:sz="8" w:space="0" w:color="BFBFBF" w:themeColor="background1" w:themeShade="BF"/>
              <w:bottom w:val="nil"/>
            </w:tcBorders>
            <w:noWrap/>
            <w:tcMar>
              <w:top w:w="0" w:type="dxa"/>
              <w:left w:w="108" w:type="dxa"/>
              <w:bottom w:w="0" w:type="dxa"/>
              <w:right w:w="108" w:type="dxa"/>
            </w:tcMar>
            <w:vAlign w:val="bottom"/>
            <w:hideMark/>
          </w:tcPr>
          <w:p w14:paraId="121B36C4" w14:textId="77777777" w:rsidR="00DC412A" w:rsidRPr="004C396F" w:rsidRDefault="00DC412A" w:rsidP="00DC412A">
            <w:pPr>
              <w:spacing w:before="120"/>
              <w:rPr>
                <w:sz w:val="20"/>
                <w:szCs w:val="20"/>
              </w:rPr>
            </w:pPr>
            <w:r w:rsidRPr="004C396F">
              <w:rPr>
                <w:sz w:val="20"/>
                <w:szCs w:val="20"/>
              </w:rPr>
              <w:t>Chest of drawers</w:t>
            </w:r>
          </w:p>
        </w:tc>
        <w:tc>
          <w:tcPr>
            <w:tcW w:w="4699" w:type="dxa"/>
            <w:tcBorders>
              <w:top w:val="single" w:sz="8" w:space="0" w:color="BFBFBF" w:themeColor="background1" w:themeShade="BF"/>
              <w:bottom w:val="nil"/>
            </w:tcBorders>
            <w:noWrap/>
            <w:tcMar>
              <w:top w:w="0" w:type="dxa"/>
              <w:left w:w="108" w:type="dxa"/>
              <w:bottom w:w="0" w:type="dxa"/>
              <w:right w:w="108" w:type="dxa"/>
            </w:tcMar>
            <w:hideMark/>
          </w:tcPr>
          <w:p w14:paraId="3910A7FD" w14:textId="77777777" w:rsidR="00DC412A" w:rsidRPr="004C396F" w:rsidRDefault="00DC412A" w:rsidP="00DC412A">
            <w:pPr>
              <w:spacing w:before="120"/>
              <w:rPr>
                <w:sz w:val="20"/>
                <w:szCs w:val="20"/>
              </w:rPr>
            </w:pPr>
            <w:r w:rsidRPr="004C396F">
              <w:rPr>
                <w:sz w:val="20"/>
                <w:szCs w:val="20"/>
              </w:rPr>
              <w:t>7</w:t>
            </w:r>
          </w:p>
        </w:tc>
      </w:tr>
      <w:tr w:rsidR="00DC412A" w:rsidRPr="004C396F" w14:paraId="29E8F7F3" w14:textId="77777777" w:rsidTr="00DC412A">
        <w:trPr>
          <w:trHeight w:val="280"/>
          <w:jc w:val="center"/>
        </w:trPr>
        <w:tc>
          <w:tcPr>
            <w:tcW w:w="4243" w:type="dxa"/>
            <w:tcBorders>
              <w:top w:val="nil"/>
              <w:bottom w:val="nil"/>
            </w:tcBorders>
            <w:noWrap/>
            <w:tcMar>
              <w:top w:w="0" w:type="dxa"/>
              <w:left w:w="108" w:type="dxa"/>
              <w:bottom w:w="0" w:type="dxa"/>
              <w:right w:w="108" w:type="dxa"/>
            </w:tcMar>
            <w:vAlign w:val="bottom"/>
            <w:hideMark/>
          </w:tcPr>
          <w:p w14:paraId="3649C02D" w14:textId="77777777" w:rsidR="00DC412A" w:rsidRPr="004C396F" w:rsidRDefault="00DC412A" w:rsidP="00DC412A">
            <w:pPr>
              <w:spacing w:before="120"/>
              <w:rPr>
                <w:sz w:val="20"/>
                <w:szCs w:val="20"/>
              </w:rPr>
            </w:pPr>
            <w:r w:rsidRPr="004C396F">
              <w:rPr>
                <w:sz w:val="20"/>
                <w:szCs w:val="20"/>
              </w:rPr>
              <w:t xml:space="preserve">Furniture with a TV on it </w:t>
            </w:r>
          </w:p>
        </w:tc>
        <w:tc>
          <w:tcPr>
            <w:tcW w:w="4699" w:type="dxa"/>
            <w:tcBorders>
              <w:top w:val="nil"/>
              <w:bottom w:val="nil"/>
            </w:tcBorders>
            <w:noWrap/>
            <w:tcMar>
              <w:top w:w="0" w:type="dxa"/>
              <w:left w:w="108" w:type="dxa"/>
              <w:bottom w:w="0" w:type="dxa"/>
              <w:right w:w="108" w:type="dxa"/>
            </w:tcMar>
            <w:hideMark/>
          </w:tcPr>
          <w:p w14:paraId="465E477A" w14:textId="77777777" w:rsidR="00DC412A" w:rsidRPr="004C396F" w:rsidRDefault="00DC412A" w:rsidP="00DC412A">
            <w:pPr>
              <w:spacing w:before="120"/>
              <w:rPr>
                <w:sz w:val="20"/>
                <w:szCs w:val="20"/>
              </w:rPr>
            </w:pPr>
            <w:r w:rsidRPr="004C396F">
              <w:rPr>
                <w:sz w:val="20"/>
                <w:szCs w:val="20"/>
              </w:rPr>
              <w:t>10</w:t>
            </w:r>
          </w:p>
        </w:tc>
      </w:tr>
      <w:tr w:rsidR="00DC412A" w:rsidRPr="004C396F" w14:paraId="60BA0299" w14:textId="77777777" w:rsidTr="00DC412A">
        <w:trPr>
          <w:trHeight w:val="280"/>
          <w:jc w:val="center"/>
        </w:trPr>
        <w:tc>
          <w:tcPr>
            <w:tcW w:w="4243" w:type="dxa"/>
            <w:tcBorders>
              <w:top w:val="nil"/>
              <w:bottom w:val="nil"/>
            </w:tcBorders>
            <w:noWrap/>
            <w:tcMar>
              <w:top w:w="0" w:type="dxa"/>
              <w:left w:w="108" w:type="dxa"/>
              <w:bottom w:w="0" w:type="dxa"/>
              <w:right w:w="108" w:type="dxa"/>
            </w:tcMar>
            <w:vAlign w:val="bottom"/>
            <w:hideMark/>
          </w:tcPr>
          <w:p w14:paraId="697CFCF1" w14:textId="77777777" w:rsidR="00DC412A" w:rsidRPr="004C396F" w:rsidRDefault="00DC412A" w:rsidP="00DC412A">
            <w:pPr>
              <w:spacing w:before="120"/>
              <w:rPr>
                <w:sz w:val="20"/>
                <w:szCs w:val="20"/>
              </w:rPr>
            </w:pPr>
            <w:r w:rsidRPr="004C396F">
              <w:rPr>
                <w:sz w:val="20"/>
                <w:szCs w:val="20"/>
              </w:rPr>
              <w:t>Wardrobe</w:t>
            </w:r>
          </w:p>
        </w:tc>
        <w:tc>
          <w:tcPr>
            <w:tcW w:w="4699" w:type="dxa"/>
            <w:tcBorders>
              <w:top w:val="nil"/>
              <w:bottom w:val="nil"/>
            </w:tcBorders>
            <w:noWrap/>
            <w:tcMar>
              <w:top w:w="0" w:type="dxa"/>
              <w:left w:w="108" w:type="dxa"/>
              <w:bottom w:w="0" w:type="dxa"/>
              <w:right w:w="108" w:type="dxa"/>
            </w:tcMar>
            <w:hideMark/>
          </w:tcPr>
          <w:p w14:paraId="7B009751" w14:textId="77777777" w:rsidR="00DC412A" w:rsidRPr="004C396F" w:rsidRDefault="00DC412A" w:rsidP="00DC412A">
            <w:pPr>
              <w:spacing w:before="120"/>
              <w:rPr>
                <w:sz w:val="20"/>
                <w:szCs w:val="20"/>
              </w:rPr>
            </w:pPr>
            <w:r w:rsidRPr="004C396F">
              <w:rPr>
                <w:sz w:val="20"/>
                <w:szCs w:val="20"/>
              </w:rPr>
              <w:t>4</w:t>
            </w:r>
          </w:p>
        </w:tc>
      </w:tr>
      <w:tr w:rsidR="00DC412A" w:rsidRPr="004C396F" w14:paraId="223C977E" w14:textId="77777777" w:rsidTr="00DC412A">
        <w:trPr>
          <w:trHeight w:val="280"/>
          <w:jc w:val="center"/>
        </w:trPr>
        <w:tc>
          <w:tcPr>
            <w:tcW w:w="4243" w:type="dxa"/>
            <w:tcBorders>
              <w:top w:val="nil"/>
              <w:bottom w:val="nil"/>
            </w:tcBorders>
            <w:noWrap/>
            <w:tcMar>
              <w:top w:w="0" w:type="dxa"/>
              <w:left w:w="108" w:type="dxa"/>
              <w:bottom w:w="0" w:type="dxa"/>
              <w:right w:w="108" w:type="dxa"/>
            </w:tcMar>
            <w:vAlign w:val="bottom"/>
            <w:hideMark/>
          </w:tcPr>
          <w:p w14:paraId="5B02914E" w14:textId="77777777" w:rsidR="00DC412A" w:rsidRPr="004C396F" w:rsidRDefault="00DC412A" w:rsidP="00DC412A">
            <w:pPr>
              <w:spacing w:before="120"/>
              <w:rPr>
                <w:sz w:val="20"/>
                <w:szCs w:val="20"/>
              </w:rPr>
            </w:pPr>
            <w:r w:rsidRPr="004C396F">
              <w:rPr>
                <w:sz w:val="20"/>
                <w:szCs w:val="20"/>
              </w:rPr>
              <w:t>Cabinet</w:t>
            </w:r>
            <w:r>
              <w:rPr>
                <w:sz w:val="20"/>
                <w:szCs w:val="20"/>
              </w:rPr>
              <w:t xml:space="preserve"> / Cupboard</w:t>
            </w:r>
          </w:p>
        </w:tc>
        <w:tc>
          <w:tcPr>
            <w:tcW w:w="4699" w:type="dxa"/>
            <w:tcBorders>
              <w:top w:val="nil"/>
              <w:bottom w:val="nil"/>
            </w:tcBorders>
            <w:noWrap/>
            <w:tcMar>
              <w:top w:w="0" w:type="dxa"/>
              <w:left w:w="108" w:type="dxa"/>
              <w:bottom w:w="0" w:type="dxa"/>
              <w:right w:w="108" w:type="dxa"/>
            </w:tcMar>
            <w:hideMark/>
          </w:tcPr>
          <w:p w14:paraId="0C8D427E" w14:textId="77777777" w:rsidR="00DC412A" w:rsidRPr="004C396F" w:rsidRDefault="00DC412A" w:rsidP="00DC412A">
            <w:pPr>
              <w:spacing w:before="120"/>
              <w:rPr>
                <w:sz w:val="20"/>
                <w:szCs w:val="20"/>
              </w:rPr>
            </w:pPr>
            <w:r>
              <w:rPr>
                <w:sz w:val="20"/>
                <w:szCs w:val="20"/>
              </w:rPr>
              <w:t>5</w:t>
            </w:r>
          </w:p>
        </w:tc>
      </w:tr>
      <w:tr w:rsidR="00DC412A" w:rsidRPr="004C396F" w14:paraId="4DD07E27" w14:textId="77777777" w:rsidTr="00DC412A">
        <w:trPr>
          <w:trHeight w:val="280"/>
          <w:jc w:val="center"/>
        </w:trPr>
        <w:tc>
          <w:tcPr>
            <w:tcW w:w="4243" w:type="dxa"/>
            <w:tcBorders>
              <w:top w:val="nil"/>
              <w:bottom w:val="single" w:sz="8" w:space="0" w:color="BFBFBF" w:themeColor="background1" w:themeShade="BF"/>
            </w:tcBorders>
            <w:noWrap/>
            <w:tcMar>
              <w:top w:w="0" w:type="dxa"/>
              <w:left w:w="108" w:type="dxa"/>
              <w:bottom w:w="0" w:type="dxa"/>
              <w:right w:w="108" w:type="dxa"/>
            </w:tcMar>
            <w:vAlign w:val="bottom"/>
            <w:hideMark/>
          </w:tcPr>
          <w:p w14:paraId="098C8DB3" w14:textId="77777777" w:rsidR="00DC412A" w:rsidRPr="004C396F" w:rsidRDefault="00DC412A" w:rsidP="00DC412A">
            <w:pPr>
              <w:spacing w:before="120"/>
              <w:rPr>
                <w:sz w:val="20"/>
                <w:szCs w:val="20"/>
              </w:rPr>
            </w:pPr>
            <w:r w:rsidRPr="004C396F">
              <w:rPr>
                <w:sz w:val="20"/>
                <w:szCs w:val="20"/>
              </w:rPr>
              <w:t xml:space="preserve">Table </w:t>
            </w:r>
          </w:p>
        </w:tc>
        <w:tc>
          <w:tcPr>
            <w:tcW w:w="4699" w:type="dxa"/>
            <w:tcBorders>
              <w:top w:val="nil"/>
              <w:bottom w:val="single" w:sz="8" w:space="0" w:color="BFBFBF" w:themeColor="background1" w:themeShade="BF"/>
            </w:tcBorders>
            <w:noWrap/>
            <w:tcMar>
              <w:top w:w="0" w:type="dxa"/>
              <w:left w:w="108" w:type="dxa"/>
              <w:bottom w:w="0" w:type="dxa"/>
              <w:right w:w="108" w:type="dxa"/>
            </w:tcMar>
            <w:hideMark/>
          </w:tcPr>
          <w:p w14:paraId="7024C618" w14:textId="77777777" w:rsidR="00DC412A" w:rsidRPr="004C396F" w:rsidRDefault="00DC412A" w:rsidP="00DC412A">
            <w:pPr>
              <w:spacing w:before="120"/>
              <w:rPr>
                <w:sz w:val="20"/>
                <w:szCs w:val="20"/>
              </w:rPr>
            </w:pPr>
            <w:r>
              <w:rPr>
                <w:sz w:val="20"/>
                <w:szCs w:val="20"/>
              </w:rPr>
              <w:t>2</w:t>
            </w:r>
          </w:p>
        </w:tc>
      </w:tr>
      <w:tr w:rsidR="00DC412A" w:rsidRPr="004C396F" w14:paraId="63D86A44" w14:textId="77777777" w:rsidTr="00DC412A">
        <w:trPr>
          <w:trHeight w:val="280"/>
          <w:jc w:val="center"/>
        </w:trPr>
        <w:tc>
          <w:tcPr>
            <w:tcW w:w="4243" w:type="dxa"/>
            <w:tcBorders>
              <w:top w:val="single" w:sz="8" w:space="0" w:color="BFBFBF" w:themeColor="background1" w:themeShade="BF"/>
            </w:tcBorders>
            <w:noWrap/>
            <w:tcMar>
              <w:top w:w="0" w:type="dxa"/>
              <w:left w:w="108" w:type="dxa"/>
              <w:bottom w:w="0" w:type="dxa"/>
              <w:right w:w="108" w:type="dxa"/>
            </w:tcMar>
            <w:vAlign w:val="bottom"/>
          </w:tcPr>
          <w:p w14:paraId="52848CB0" w14:textId="77777777" w:rsidR="00DC412A" w:rsidRPr="004C396F" w:rsidRDefault="00DC412A" w:rsidP="00DC412A">
            <w:pPr>
              <w:spacing w:before="120"/>
              <w:rPr>
                <w:b/>
                <w:bCs/>
                <w:sz w:val="20"/>
                <w:szCs w:val="20"/>
              </w:rPr>
            </w:pPr>
            <w:r w:rsidRPr="004C396F">
              <w:rPr>
                <w:b/>
                <w:bCs/>
                <w:sz w:val="20"/>
                <w:szCs w:val="20"/>
              </w:rPr>
              <w:t>Total</w:t>
            </w:r>
          </w:p>
        </w:tc>
        <w:tc>
          <w:tcPr>
            <w:tcW w:w="4699" w:type="dxa"/>
            <w:tcBorders>
              <w:top w:val="single" w:sz="8" w:space="0" w:color="BFBFBF" w:themeColor="background1" w:themeShade="BF"/>
            </w:tcBorders>
            <w:noWrap/>
            <w:tcMar>
              <w:top w:w="0" w:type="dxa"/>
              <w:left w:w="108" w:type="dxa"/>
              <w:bottom w:w="0" w:type="dxa"/>
              <w:right w:w="108" w:type="dxa"/>
            </w:tcMar>
          </w:tcPr>
          <w:p w14:paraId="421612B4" w14:textId="77777777" w:rsidR="00DC412A" w:rsidRPr="004C396F" w:rsidRDefault="00DC412A" w:rsidP="00DC412A">
            <w:pPr>
              <w:spacing w:before="120"/>
              <w:rPr>
                <w:b/>
                <w:bCs/>
                <w:sz w:val="20"/>
                <w:szCs w:val="20"/>
              </w:rPr>
            </w:pPr>
            <w:r w:rsidRPr="004C396F">
              <w:rPr>
                <w:b/>
                <w:bCs/>
                <w:sz w:val="20"/>
                <w:szCs w:val="20"/>
              </w:rPr>
              <w:t>28</w:t>
            </w:r>
          </w:p>
        </w:tc>
      </w:tr>
    </w:tbl>
    <w:p w14:paraId="00719B9B" w14:textId="77777777" w:rsidR="00DC412A" w:rsidRDefault="00DC412A" w:rsidP="00DC412A">
      <w:pPr>
        <w:spacing w:before="120"/>
      </w:pPr>
    </w:p>
    <w:p w14:paraId="216B482D" w14:textId="77777777" w:rsidR="00DC412A" w:rsidRDefault="00DC412A" w:rsidP="00DC412A">
      <w:pPr>
        <w:spacing w:before="120"/>
      </w:pPr>
      <w:r>
        <w:t>T</w:t>
      </w:r>
      <w:r w:rsidRPr="004C396F">
        <w:t>he story of Reef Kite is an example of the devast</w:t>
      </w:r>
      <w:r>
        <w:t>at</w:t>
      </w:r>
      <w:r w:rsidRPr="004C396F">
        <w:t xml:space="preserve">ing impact </w:t>
      </w:r>
      <w:r>
        <w:t>unsafe</w:t>
      </w:r>
      <w:r w:rsidRPr="004C396F">
        <w:t xml:space="preserve"> furniture can have on a young child, their family and community.</w:t>
      </w:r>
    </w:p>
    <w:p w14:paraId="2BBCA909" w14:textId="77777777" w:rsidR="00DC412A" w:rsidRPr="004C396F" w:rsidRDefault="00DC412A" w:rsidP="00DC412A">
      <w:pPr>
        <w:spacing w:before="120"/>
      </w:pPr>
    </w:p>
    <w:tbl>
      <w:tblPr>
        <w:tblStyle w:val="PlainTable4"/>
        <w:tblW w:w="9498" w:type="dxa"/>
        <w:shd w:val="clear" w:color="auto" w:fill="F2F2F2" w:themeFill="background1" w:themeFillShade="F2"/>
        <w:tblLook w:val="04A0" w:firstRow="1" w:lastRow="0" w:firstColumn="1" w:lastColumn="0" w:noHBand="0" w:noVBand="1"/>
      </w:tblPr>
      <w:tblGrid>
        <w:gridCol w:w="9498"/>
      </w:tblGrid>
      <w:tr w:rsidR="00DC412A" w:rsidRPr="004C396F" w14:paraId="41764E7F" w14:textId="77777777" w:rsidTr="00DC4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shd w:val="clear" w:color="auto" w:fill="F2F2F2" w:themeFill="background1" w:themeFillShade="F2"/>
          </w:tcPr>
          <w:p w14:paraId="7FAD9692" w14:textId="77777777" w:rsidR="00DC412A" w:rsidRPr="004C396F" w:rsidRDefault="00DC412A" w:rsidP="00DC412A">
            <w:pPr>
              <w:spacing w:before="120" w:after="120"/>
              <w:rPr>
                <w:rFonts w:cs="Arial"/>
              </w:rPr>
            </w:pPr>
            <w:r w:rsidRPr="004C396F">
              <w:rPr>
                <w:rFonts w:cs="Arial"/>
              </w:rPr>
              <w:t>Reef Kite’s story</w:t>
            </w:r>
          </w:p>
        </w:tc>
      </w:tr>
      <w:tr w:rsidR="00DC412A" w:rsidRPr="004C396F" w14:paraId="1EE017EE" w14:textId="77777777" w:rsidTr="00DC4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72AE2C22" w14:textId="77777777" w:rsidR="00DC412A" w:rsidRPr="00FB31A8" w:rsidRDefault="00DC412A" w:rsidP="00DC412A">
            <w:pPr>
              <w:spacing w:before="120" w:after="120"/>
              <w:rPr>
                <w:rFonts w:cs="Arial"/>
                <w:b w:val="0"/>
                <w:bCs w:val="0"/>
                <w:sz w:val="20"/>
                <w:szCs w:val="20"/>
              </w:rPr>
            </w:pPr>
            <w:r w:rsidRPr="00FB31A8">
              <w:rPr>
                <w:rFonts w:cs="Arial"/>
                <w:b w:val="0"/>
                <w:bCs w:val="0"/>
                <w:sz w:val="20"/>
                <w:szCs w:val="20"/>
              </w:rPr>
              <w:t>In 2015, Reef, a 21-month-old boy from Western Australia was found trapped underneath a chest of drawers filled with clothing in his bedroom. Although he was rushed to the hospital, attempts to resuscitate him failed. While the circumstances in which he came into contact with the chest of drawers w</w:t>
            </w:r>
            <w:r>
              <w:rPr>
                <w:rFonts w:cs="Arial"/>
                <w:b w:val="0"/>
                <w:bCs w:val="0"/>
                <w:sz w:val="20"/>
                <w:szCs w:val="20"/>
              </w:rPr>
              <w:t>ere</w:t>
            </w:r>
            <w:r w:rsidRPr="00FB31A8">
              <w:rPr>
                <w:rFonts w:cs="Arial"/>
                <w:b w:val="0"/>
                <w:bCs w:val="0"/>
                <w:sz w:val="20"/>
                <w:szCs w:val="20"/>
              </w:rPr>
              <w:t xml:space="preserve"> unclear, Reef’s mother reported he had never climbed any of the cabinets or chests of drawers in the house. </w:t>
            </w:r>
          </w:p>
        </w:tc>
      </w:tr>
      <w:tr w:rsidR="00DC412A" w:rsidRPr="004C396F" w14:paraId="01442373" w14:textId="77777777" w:rsidTr="00DC412A">
        <w:tc>
          <w:tcPr>
            <w:cnfStyle w:val="001000000000" w:firstRow="0" w:lastRow="0" w:firstColumn="1" w:lastColumn="0" w:oddVBand="0" w:evenVBand="0" w:oddHBand="0" w:evenHBand="0" w:firstRowFirstColumn="0" w:firstRowLastColumn="0" w:lastRowFirstColumn="0" w:lastRowLastColumn="0"/>
            <w:tcW w:w="9498" w:type="dxa"/>
            <w:shd w:val="clear" w:color="auto" w:fill="F2F2F2" w:themeFill="background1" w:themeFillShade="F2"/>
          </w:tcPr>
          <w:p w14:paraId="1602B771" w14:textId="77777777" w:rsidR="00DC412A" w:rsidRPr="00FB31A8" w:rsidRDefault="00DC412A" w:rsidP="00DC412A">
            <w:pPr>
              <w:spacing w:before="120" w:after="120"/>
              <w:rPr>
                <w:rFonts w:cs="Arial"/>
                <w:b w:val="0"/>
                <w:bCs w:val="0"/>
                <w:sz w:val="20"/>
                <w:szCs w:val="20"/>
              </w:rPr>
            </w:pPr>
            <w:r w:rsidRPr="00FB31A8">
              <w:rPr>
                <w:rFonts w:cs="Arial"/>
                <w:b w:val="0"/>
                <w:bCs w:val="0"/>
                <w:sz w:val="20"/>
                <w:szCs w:val="20"/>
              </w:rPr>
              <w:t xml:space="preserve">Police officers who visited the home were surprised at how easily the chest of drawers toppled over when minimal force was applied with the drawers in a closed position. It was also very heavy and required 2 men to lift. Once the chest of drawers started falling forward, it was difficult for an adult to stop it toppling over, let alone a child. </w:t>
            </w:r>
          </w:p>
        </w:tc>
      </w:tr>
      <w:tr w:rsidR="00DC412A" w:rsidRPr="004C396F" w14:paraId="5090143C" w14:textId="77777777" w:rsidTr="00DC4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2E10AB80" w14:textId="77777777" w:rsidR="00DC412A" w:rsidRPr="00FB31A8" w:rsidRDefault="00DC412A" w:rsidP="00DC412A">
            <w:pPr>
              <w:spacing w:before="120" w:after="120"/>
              <w:rPr>
                <w:rFonts w:cs="Arial"/>
                <w:b w:val="0"/>
                <w:bCs w:val="0"/>
                <w:sz w:val="20"/>
                <w:szCs w:val="20"/>
              </w:rPr>
            </w:pPr>
            <w:r w:rsidRPr="00FB31A8">
              <w:rPr>
                <w:rFonts w:cs="Arial"/>
                <w:b w:val="0"/>
                <w:bCs w:val="0"/>
                <w:sz w:val="20"/>
                <w:szCs w:val="20"/>
              </w:rPr>
              <w:t xml:space="preserve">Reef’s mother said she had thought the weight of the chest of drawers was an advantage as it may make it more stable. Although she was aware of the benefits of securing furniture to the wall, she was unable to do so as she had not been given permission by her landlord. </w:t>
            </w:r>
          </w:p>
        </w:tc>
      </w:tr>
      <w:tr w:rsidR="00DC412A" w:rsidRPr="004C396F" w14:paraId="3A8D6D40" w14:textId="77777777" w:rsidTr="00DC412A">
        <w:trPr>
          <w:trHeight w:val="1521"/>
        </w:trPr>
        <w:tc>
          <w:tcPr>
            <w:cnfStyle w:val="001000000000" w:firstRow="0" w:lastRow="0" w:firstColumn="1" w:lastColumn="0" w:oddVBand="0" w:evenVBand="0" w:oddHBand="0" w:evenHBand="0" w:firstRowFirstColumn="0" w:firstRowLastColumn="0" w:lastRowFirstColumn="0" w:lastRowLastColumn="0"/>
            <w:tcW w:w="9498" w:type="dxa"/>
            <w:shd w:val="clear" w:color="auto" w:fill="F2F2F2" w:themeFill="background1" w:themeFillShade="F2"/>
          </w:tcPr>
          <w:p w14:paraId="426512C2" w14:textId="77777777" w:rsidR="00DC412A" w:rsidRPr="00FB31A8" w:rsidRDefault="00DC412A" w:rsidP="00DC412A">
            <w:pPr>
              <w:spacing w:before="120" w:after="120"/>
              <w:rPr>
                <w:rFonts w:cs="Arial"/>
                <w:b w:val="0"/>
                <w:bCs w:val="0"/>
                <w:sz w:val="20"/>
                <w:szCs w:val="20"/>
              </w:rPr>
            </w:pPr>
            <w:r w:rsidRPr="00FB31A8">
              <w:rPr>
                <w:rFonts w:cs="Arial"/>
                <w:b w:val="0"/>
                <w:bCs w:val="0"/>
                <w:sz w:val="20"/>
                <w:szCs w:val="20"/>
              </w:rPr>
              <w:t>As a result of advocacy efforts, amendments to the tenancy law were passed in Western Australia in 2020, allowing tenants to make a request to their landlord to attach furniture to a wall to prevent it from toppling. Landlords may only refuse the request in limited circumstances, such as where the home is heritage listed or contains asbestos.</w:t>
            </w:r>
          </w:p>
        </w:tc>
      </w:tr>
    </w:tbl>
    <w:p w14:paraId="5EA502BF" w14:textId="77777777" w:rsidR="00DC412A" w:rsidRPr="005D4886" w:rsidRDefault="00DC412A" w:rsidP="00DC412A">
      <w:pPr>
        <w:spacing w:before="120"/>
        <w:rPr>
          <w:sz w:val="20"/>
          <w:szCs w:val="20"/>
        </w:rPr>
      </w:pPr>
      <w:bookmarkStart w:id="279" w:name="_Toc99465991"/>
      <w:bookmarkStart w:id="280" w:name="_Toc99466107"/>
      <w:bookmarkStart w:id="281" w:name="_Toc99466237"/>
      <w:bookmarkStart w:id="282" w:name="_Toc99466482"/>
      <w:bookmarkStart w:id="283" w:name="_Toc100214712"/>
    </w:p>
    <w:p w14:paraId="7B6732B3" w14:textId="77777777" w:rsidR="00DC412A" w:rsidRDefault="00DC412A" w:rsidP="00DC412A">
      <w:pPr>
        <w:pStyle w:val="Heading3"/>
        <w:spacing w:before="120"/>
        <w:rPr>
          <w:szCs w:val="20"/>
        </w:rPr>
      </w:pPr>
      <w:bookmarkStart w:id="284" w:name="_Toc126074108"/>
      <w:bookmarkEnd w:id="279"/>
      <w:bookmarkEnd w:id="280"/>
      <w:bookmarkEnd w:id="281"/>
      <w:bookmarkEnd w:id="282"/>
      <w:bookmarkEnd w:id="283"/>
      <w:r>
        <w:rPr>
          <w:szCs w:val="20"/>
        </w:rPr>
        <w:t>Injuries</w:t>
      </w:r>
      <w:bookmarkEnd w:id="284"/>
    </w:p>
    <w:p w14:paraId="4110EAA6" w14:textId="77777777" w:rsidR="00DC412A" w:rsidRDefault="00DC412A" w:rsidP="00DC412A">
      <w:pPr>
        <w:spacing w:before="120"/>
      </w:pPr>
      <w:r w:rsidRPr="004C396F">
        <w:t>There is currently no single source of injury data for ED presentations in Australia</w:t>
      </w:r>
      <w:r>
        <w:t xml:space="preserve">. As such, nationwide injury trends have been extrapolated from the information that is available. </w:t>
      </w:r>
    </w:p>
    <w:p w14:paraId="4106B241" w14:textId="77777777" w:rsidR="00DC412A" w:rsidRPr="00F05000" w:rsidRDefault="00DC412A" w:rsidP="00DC412A">
      <w:pPr>
        <w:spacing w:before="120"/>
      </w:pPr>
      <w:r w:rsidRPr="00F05000">
        <w:t xml:space="preserve">Injuries </w:t>
      </w:r>
      <w:r>
        <w:t>associated with toppling furniture can i</w:t>
      </w:r>
      <w:r w:rsidRPr="00F05000">
        <w:t>nclude bone fractures, dislocations, crush injuries, or traumatic brain injuries. Although small children are particularly at risk, the statistics show that older Australians are also vulnerable to</w:t>
      </w:r>
      <w:r>
        <w:t xml:space="preserve"> these</w:t>
      </w:r>
      <w:r w:rsidRPr="00F05000">
        <w:t xml:space="preserve"> injuries. </w:t>
      </w:r>
    </w:p>
    <w:p w14:paraId="38F13A2F" w14:textId="77777777" w:rsidR="00DC412A" w:rsidRDefault="00DC412A" w:rsidP="00DC412A">
      <w:pPr>
        <w:spacing w:before="120"/>
      </w:pPr>
      <w:r w:rsidRPr="00F05000">
        <w:t>Most incidents reported involved an injury to the head region, but ankle and feet injuries are also common. Of th</w:t>
      </w:r>
      <w:r>
        <w:t>e identified</w:t>
      </w:r>
      <w:r w:rsidRPr="00F05000">
        <w:t xml:space="preserve"> ED presentations</w:t>
      </w:r>
      <w:r>
        <w:t xml:space="preserve"> in Victoria and Queensland</w:t>
      </w:r>
      <w:r w:rsidRPr="00F05000">
        <w:t>, 17% of patients</w:t>
      </w:r>
      <w:r>
        <w:t xml:space="preserve"> in Victoria</w:t>
      </w:r>
      <w:r w:rsidRPr="00F05000">
        <w:t xml:space="preserve"> and 20% of patients</w:t>
      </w:r>
      <w:r>
        <w:t xml:space="preserve"> in Queensland</w:t>
      </w:r>
      <w:r w:rsidRPr="00F05000">
        <w:t xml:space="preserve"> were admitted to hospital for further treatment.</w:t>
      </w:r>
    </w:p>
    <w:p w14:paraId="1951FD5C" w14:textId="7F6E97B0" w:rsidR="00DC412A" w:rsidRPr="009A7576" w:rsidRDefault="00DC412A" w:rsidP="00DC412A">
      <w:pPr>
        <w:pStyle w:val="Heading3"/>
      </w:pPr>
      <w:bookmarkStart w:id="285" w:name="_Toc126074109"/>
      <w:r>
        <w:t>Injury data collection</w:t>
      </w:r>
      <w:r w:rsidR="008D52FF">
        <w:rPr>
          <w:rStyle w:val="FootnoteReference"/>
        </w:rPr>
        <w:footnoteReference w:id="15"/>
      </w:r>
      <w:bookmarkEnd w:id="285"/>
    </w:p>
    <w:p w14:paraId="7971758E" w14:textId="6E6E0F35" w:rsidR="00DC412A" w:rsidRDefault="00DC412A" w:rsidP="00DC412A">
      <w:pPr>
        <w:spacing w:before="120"/>
      </w:pPr>
      <w:r w:rsidRPr="004C396F">
        <w:t>The Victorian Injury Surveillance Unit (VISU) and the Queensland Injury Surveillance Unit (QISU) provided ED presentation data from hospitals to the ACCC.</w:t>
      </w:r>
    </w:p>
    <w:p w14:paraId="10B7BF33" w14:textId="77777777" w:rsidR="00DC412A" w:rsidRDefault="00DC412A" w:rsidP="00DC412A">
      <w:pPr>
        <w:autoSpaceDE w:val="0"/>
        <w:autoSpaceDN w:val="0"/>
        <w:adjustRightInd w:val="0"/>
        <w:spacing w:before="0" w:after="0"/>
        <w:rPr>
          <w:rStyle w:val="contentpasted1"/>
          <w:rFonts w:eastAsia="Times New Roman"/>
          <w:shd w:val="clear" w:color="auto" w:fill="FFFFFF"/>
        </w:rPr>
      </w:pPr>
      <w:r w:rsidRPr="00A3302F">
        <w:rPr>
          <w:rStyle w:val="contentpasted1"/>
          <w:rFonts w:eastAsia="Times New Roman"/>
          <w:shd w:val="clear" w:color="auto" w:fill="FFFFFF"/>
        </w:rPr>
        <w:t>QISU and VISU both report on injury surveillance data collected by participating emergency departments. In Victoria, all emergency departments with an overnight facility are mandated to collect level 1 injury surveillance data. In Queensland, participation is voluntary and only a selection of hospitals participate, collecting level 2 injury surveillance data. </w:t>
      </w:r>
      <w:r>
        <w:rPr>
          <w:rStyle w:val="contentpasted1"/>
          <w:rFonts w:eastAsia="Times New Roman"/>
          <w:shd w:val="clear" w:color="auto" w:fill="FFFFFF"/>
        </w:rPr>
        <w:t>L</w:t>
      </w:r>
      <w:r w:rsidRPr="00A3302F">
        <w:rPr>
          <w:rStyle w:val="contentpasted1"/>
          <w:rFonts w:eastAsia="Times New Roman"/>
          <w:shd w:val="clear" w:color="auto" w:fill="FFFFFF"/>
        </w:rPr>
        <w:t xml:space="preserve">evel 2 data </w:t>
      </w:r>
      <w:r>
        <w:rPr>
          <w:rStyle w:val="contentpasted1"/>
          <w:rFonts w:eastAsia="Times New Roman"/>
          <w:shd w:val="clear" w:color="auto" w:fill="FFFFFF"/>
        </w:rPr>
        <w:t xml:space="preserve">contains more coded fields and </w:t>
      </w:r>
      <w:r w:rsidRPr="00A3302F">
        <w:rPr>
          <w:rStyle w:val="contentpasted1"/>
          <w:rFonts w:eastAsia="Times New Roman"/>
          <w:shd w:val="clear" w:color="auto" w:fill="FFFFFF"/>
        </w:rPr>
        <w:t>may capture more product information than level 1 depending on the product type.</w:t>
      </w:r>
      <w:r>
        <w:rPr>
          <w:rStyle w:val="FootnoteReference"/>
          <w:rFonts w:eastAsia="Times New Roman"/>
          <w:shd w:val="clear" w:color="auto" w:fill="FFFFFF"/>
        </w:rPr>
        <w:footnoteReference w:id="16"/>
      </w:r>
    </w:p>
    <w:p w14:paraId="742ECFAE" w14:textId="77777777" w:rsidR="00DC412A" w:rsidRDefault="00DC412A" w:rsidP="00DC412A">
      <w:pPr>
        <w:autoSpaceDE w:val="0"/>
        <w:autoSpaceDN w:val="0"/>
        <w:adjustRightInd w:val="0"/>
        <w:spacing w:before="0" w:after="0"/>
        <w:rPr>
          <w:rStyle w:val="contentpasted1"/>
          <w:rFonts w:eastAsia="Times New Roman"/>
          <w:shd w:val="clear" w:color="auto" w:fill="FFFFFF"/>
        </w:rPr>
      </w:pPr>
    </w:p>
    <w:p w14:paraId="42E24357" w14:textId="77777777" w:rsidR="00DC412A" w:rsidRPr="00A3302F" w:rsidRDefault="00DC412A" w:rsidP="00DC412A">
      <w:pPr>
        <w:autoSpaceDE w:val="0"/>
        <w:autoSpaceDN w:val="0"/>
        <w:adjustRightInd w:val="0"/>
        <w:spacing w:before="0" w:after="0"/>
        <w:rPr>
          <w:rFonts w:asciiTheme="minorHAnsi" w:hAnsiTheme="minorHAnsi" w:cstheme="minorHAnsi"/>
        </w:rPr>
      </w:pPr>
      <w:r w:rsidRPr="00A3302F">
        <w:rPr>
          <w:rStyle w:val="contentpasted1"/>
          <w:rFonts w:eastAsia="Times New Roman"/>
          <w:shd w:val="clear" w:color="auto" w:fill="FFFFFF"/>
        </w:rPr>
        <w:t>D</w:t>
      </w:r>
      <w:r>
        <w:rPr>
          <w:rStyle w:val="contentpasted1"/>
          <w:rFonts w:eastAsia="Times New Roman"/>
          <w:shd w:val="clear" w:color="auto" w:fill="FFFFFF"/>
        </w:rPr>
        <w:t>ue to the voluntary nature of QISU data collection d</w:t>
      </w:r>
      <w:r w:rsidRPr="00A3302F">
        <w:rPr>
          <w:rStyle w:val="contentpasted1"/>
          <w:rFonts w:eastAsia="Times New Roman"/>
          <w:shd w:val="clear" w:color="auto" w:fill="FFFFFF"/>
        </w:rPr>
        <w:t>ata completion (ascertainment) at QISU sites varies over time. For this reason, VISU data may be more useful for trend analysis. Limited QISU trend analysis can be performed using data collected at paediatric hospitals which have been long-term participants in data collection</w:t>
      </w:r>
      <w:r w:rsidRPr="00A3302F">
        <w:rPr>
          <w:rFonts w:asciiTheme="minorHAnsi" w:hAnsiTheme="minorHAnsi" w:cstheme="minorHAnsi"/>
        </w:rPr>
        <w:t xml:space="preserve">. </w:t>
      </w:r>
    </w:p>
    <w:p w14:paraId="7D3E47A1" w14:textId="77777777" w:rsidR="00DC412A" w:rsidRDefault="00DC412A" w:rsidP="00DC412A">
      <w:pPr>
        <w:spacing w:before="120"/>
        <w:rPr>
          <w:b/>
          <w:bCs/>
          <w:i/>
          <w:iCs/>
        </w:rPr>
      </w:pPr>
      <w:r w:rsidRPr="00F05000">
        <w:rPr>
          <w:rFonts w:asciiTheme="minorHAnsi" w:hAnsiTheme="minorHAnsi" w:cstheme="minorHAnsi"/>
          <w:color w:val="000000"/>
        </w:rPr>
        <w:t>Because of the way the systems are set up, QISU data systems collect more injury text narrative relative to VISU and this can affect case identification, depending on the product being investigated. Therefore, whilst direct comparison of QISU and VISU case numbers is not useful, the two data sets can be used to understand changes in demographics and pattern of injury.</w:t>
      </w:r>
    </w:p>
    <w:p w14:paraId="594EE253" w14:textId="2AA5A630" w:rsidR="00DC412A" w:rsidRDefault="00DC412A" w:rsidP="00DC412A">
      <w:pPr>
        <w:pStyle w:val="Heading3"/>
      </w:pPr>
      <w:bookmarkStart w:id="286" w:name="_Toc126074110"/>
      <w:r w:rsidRPr="0012538F">
        <w:t>Emergency department presentations</w:t>
      </w:r>
      <w:bookmarkEnd w:id="286"/>
    </w:p>
    <w:p w14:paraId="2426A86C" w14:textId="7977C679" w:rsidR="00FD6BCE" w:rsidRDefault="00DC412A" w:rsidP="008226DC">
      <w:r>
        <w:t>The following d</w:t>
      </w:r>
      <w:r w:rsidRPr="002B79A9">
        <w:t xml:space="preserve">ata shows ED presentations for toppling furniture incidents involving </w:t>
      </w:r>
      <w:r>
        <w:t xml:space="preserve">storage </w:t>
      </w:r>
      <w:r w:rsidRPr="002B79A9">
        <w:t>furniture items in scope</w:t>
      </w:r>
      <w:r>
        <w:t>; shelves, cupboards, wardrobes, drawers, entertainment units.</w:t>
      </w:r>
    </w:p>
    <w:p w14:paraId="030618DB" w14:textId="1ED291AD" w:rsidR="004666BC" w:rsidRPr="008226DC" w:rsidRDefault="004666BC" w:rsidP="008226DC">
      <w:r>
        <w:t xml:space="preserve">The 10+ age group includes all ages above 10. </w:t>
      </w:r>
      <w:r w:rsidR="00AA0A41">
        <w:t xml:space="preserve"> Whilst the </w:t>
      </w:r>
      <w:r w:rsidR="00AA0A41">
        <w:rPr>
          <w:rStyle w:val="ui-provider"/>
        </w:rPr>
        <w:t>data indicates young children are most affected by toppling furniture incidents, Australians of all ages may be impacted including older people for whom injuries' may result in more serious outcomes.</w:t>
      </w:r>
    </w:p>
    <w:p w14:paraId="7B46687B" w14:textId="69A61954" w:rsidR="00DC412A" w:rsidRPr="00D33B0F" w:rsidRDefault="00DC412A" w:rsidP="00DC412A">
      <w:pPr>
        <w:spacing w:before="120"/>
        <w:rPr>
          <w:b/>
          <w:sz w:val="20"/>
          <w:szCs w:val="20"/>
          <w:highlight w:val="yellow"/>
        </w:rPr>
      </w:pPr>
      <w:r w:rsidRPr="00D33B0F">
        <w:rPr>
          <w:b/>
          <w:sz w:val="20"/>
          <w:szCs w:val="20"/>
        </w:rPr>
        <w:t xml:space="preserve">Figure 1- </w:t>
      </w:r>
      <w:r w:rsidRPr="00D33B0F">
        <w:rPr>
          <w:b/>
          <w:bCs/>
          <w:sz w:val="20"/>
          <w:szCs w:val="20"/>
        </w:rPr>
        <w:t>Queensland ED presentations from QISU participating sites for furniture tip-over incidents involving selected storage furniture by age group; all ages, N = 160 (January 2016 – June 2020)*</w:t>
      </w:r>
    </w:p>
    <w:p w14:paraId="5723274D" w14:textId="77777777" w:rsidR="00DC412A" w:rsidRDefault="00DC412A" w:rsidP="00DC412A">
      <w:pPr>
        <w:spacing w:before="120"/>
        <w:jc w:val="center"/>
        <w:rPr>
          <w:sz w:val="20"/>
          <w:szCs w:val="20"/>
          <w:highlight w:val="yellow"/>
        </w:rPr>
      </w:pPr>
      <w:r>
        <w:rPr>
          <w:noProof/>
          <w:lang w:eastAsia="en-AU"/>
        </w:rPr>
        <w:drawing>
          <wp:inline distT="0" distB="0" distL="0" distR="0" wp14:anchorId="384861CA" wp14:editId="5E26FF5F">
            <wp:extent cx="6238875" cy="3086100"/>
            <wp:effectExtent l="0" t="0" r="0" b="0"/>
            <wp:docPr id="66" name="Chart 66">
              <a:extLst xmlns:a="http://schemas.openxmlformats.org/drawingml/2006/main">
                <a:ext uri="{FF2B5EF4-FFF2-40B4-BE49-F238E27FC236}">
                  <a16:creationId xmlns:a16="http://schemas.microsoft.com/office/drawing/2014/main" id="{498B5BA2-D1F9-494B-9DE9-4D60BF202D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A64DBE4" w14:textId="0E0980CA" w:rsidR="008226DC" w:rsidRDefault="00DC412A" w:rsidP="008226DC">
      <w:pPr>
        <w:spacing w:before="120"/>
        <w:rPr>
          <w:szCs w:val="16"/>
          <w:vertAlign w:val="subscript"/>
        </w:rPr>
      </w:pPr>
      <w:r w:rsidRPr="009220B5">
        <w:rPr>
          <w:szCs w:val="16"/>
          <w:vertAlign w:val="subscript"/>
        </w:rPr>
        <w:t>*Data presented excludes the following cases: 26 injuries related to television, 19 injuries related to children climbing and falling off (near miss events).</w:t>
      </w:r>
    </w:p>
    <w:p w14:paraId="5B4A00B3" w14:textId="77777777" w:rsidR="00AD66B1" w:rsidRPr="008226DC" w:rsidRDefault="00AD66B1" w:rsidP="00DC412A">
      <w:pPr>
        <w:spacing w:before="120"/>
        <w:rPr>
          <w:szCs w:val="16"/>
          <w:vertAlign w:val="subscript"/>
        </w:rPr>
      </w:pPr>
    </w:p>
    <w:p w14:paraId="092A12B9" w14:textId="621C9246" w:rsidR="00DC412A" w:rsidRDefault="00DC412A" w:rsidP="00B64F3F">
      <w:pPr>
        <w:spacing w:before="120"/>
        <w:rPr>
          <w:b/>
          <w:sz w:val="20"/>
          <w:szCs w:val="20"/>
        </w:rPr>
      </w:pPr>
      <w:r w:rsidRPr="005D4886">
        <w:rPr>
          <w:b/>
          <w:sz w:val="20"/>
          <w:szCs w:val="20"/>
        </w:rPr>
        <w:t xml:space="preserve">Figure </w:t>
      </w:r>
      <w:r>
        <w:rPr>
          <w:b/>
          <w:sz w:val="20"/>
          <w:szCs w:val="20"/>
        </w:rPr>
        <w:t xml:space="preserve">2 </w:t>
      </w:r>
      <w:r w:rsidRPr="005D4886">
        <w:rPr>
          <w:b/>
          <w:sz w:val="20"/>
          <w:szCs w:val="20"/>
        </w:rPr>
        <w:t>Victoria ED presentations</w:t>
      </w:r>
      <w:r>
        <w:rPr>
          <w:b/>
          <w:sz w:val="20"/>
          <w:szCs w:val="20"/>
        </w:rPr>
        <w:t xml:space="preserve"> involving selected storage furniture</w:t>
      </w:r>
      <w:r w:rsidRPr="005D4886">
        <w:rPr>
          <w:b/>
          <w:sz w:val="20"/>
          <w:szCs w:val="20"/>
        </w:rPr>
        <w:t xml:space="preserve"> by age group</w:t>
      </w:r>
      <w:r>
        <w:rPr>
          <w:b/>
          <w:sz w:val="20"/>
          <w:szCs w:val="20"/>
        </w:rPr>
        <w:t xml:space="preserve"> (N = 277)</w:t>
      </w:r>
      <w:r w:rsidRPr="005D4886">
        <w:rPr>
          <w:b/>
          <w:sz w:val="20"/>
          <w:szCs w:val="20"/>
        </w:rPr>
        <w:t xml:space="preserve"> (</w:t>
      </w:r>
      <w:r>
        <w:rPr>
          <w:b/>
          <w:sz w:val="20"/>
          <w:szCs w:val="20"/>
        </w:rPr>
        <w:t xml:space="preserve">June </w:t>
      </w:r>
      <w:r w:rsidRPr="005D4886">
        <w:rPr>
          <w:b/>
          <w:sz w:val="20"/>
          <w:szCs w:val="20"/>
        </w:rPr>
        <w:t>2016 – June 2020)</w:t>
      </w:r>
    </w:p>
    <w:p w14:paraId="2E1CE5E6" w14:textId="77777777" w:rsidR="00DC412A" w:rsidRDefault="00DC412A" w:rsidP="00DC412A">
      <w:pPr>
        <w:ind w:right="-330"/>
        <w:jc w:val="center"/>
        <w:rPr>
          <w:b/>
          <w:sz w:val="20"/>
          <w:szCs w:val="20"/>
        </w:rPr>
      </w:pPr>
      <w:r>
        <w:rPr>
          <w:noProof/>
          <w:lang w:eastAsia="en-AU"/>
        </w:rPr>
        <w:drawing>
          <wp:inline distT="0" distB="0" distL="0" distR="0" wp14:anchorId="6143576F" wp14:editId="1D9E6F32">
            <wp:extent cx="5810250" cy="2333625"/>
            <wp:effectExtent l="0" t="0" r="0" b="0"/>
            <wp:docPr id="75" name="Chart 75">
              <a:extLst xmlns:a="http://schemas.openxmlformats.org/drawingml/2006/main">
                <a:ext uri="{FF2B5EF4-FFF2-40B4-BE49-F238E27FC236}">
                  <a16:creationId xmlns:a16="http://schemas.microsoft.com/office/drawing/2014/main" id="{FF98B40E-A42F-452D-8341-8CD069662A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5AC8638" w14:textId="77777777" w:rsidR="00DC412A" w:rsidRPr="004C396F" w:rsidRDefault="00DC412A" w:rsidP="00DC412A">
      <w:pPr>
        <w:ind w:right="-330"/>
      </w:pPr>
      <w:r w:rsidRPr="004C396F">
        <w:t xml:space="preserve">VISU data shows </w:t>
      </w:r>
      <w:r>
        <w:t>277 ED presentations for injuries arising from toppling furniture incidents for select storage furniture items over the 4-year period. Of these, 123 incidents involved children aged 4 years and younger, representing 44% of the related ED presentations.</w:t>
      </w:r>
    </w:p>
    <w:p w14:paraId="00ED979A" w14:textId="65DF4DC7" w:rsidR="00DC412A" w:rsidRDefault="00DC412A" w:rsidP="00DC412A">
      <w:pPr>
        <w:spacing w:before="120"/>
      </w:pPr>
      <w:r w:rsidRPr="003D057F">
        <w:t xml:space="preserve">QISU data shows 160 ED presentations for injuries arising from toppling furniture incidents </w:t>
      </w:r>
      <w:r>
        <w:t xml:space="preserve">for select storage furniture items </w:t>
      </w:r>
      <w:r w:rsidRPr="003D057F">
        <w:t xml:space="preserve">over the </w:t>
      </w:r>
      <w:r>
        <w:t>4</w:t>
      </w:r>
      <w:r w:rsidRPr="003D057F">
        <w:t>-year period. Of these, 6</w:t>
      </w:r>
      <w:r w:rsidRPr="00F05000">
        <w:t>0</w:t>
      </w:r>
      <w:r w:rsidRPr="003D057F">
        <w:t>% (9</w:t>
      </w:r>
      <w:r w:rsidRPr="00F05000">
        <w:t>6</w:t>
      </w:r>
      <w:r w:rsidRPr="003D057F">
        <w:t xml:space="preserve"> incidents) involve injury to </w:t>
      </w:r>
      <w:r>
        <w:t>children</w:t>
      </w:r>
      <w:r w:rsidRPr="003D057F">
        <w:t xml:space="preserve"> </w:t>
      </w:r>
      <w:r>
        <w:t>aged 4 years and younger</w:t>
      </w:r>
      <w:r w:rsidRPr="003D057F">
        <w:t xml:space="preserve">. </w:t>
      </w:r>
    </w:p>
    <w:p w14:paraId="35DDA9EA" w14:textId="77777777" w:rsidR="00DC412A" w:rsidRPr="00F05000" w:rsidRDefault="00DC412A" w:rsidP="00DC412A">
      <w:pPr>
        <w:spacing w:before="120"/>
        <w:rPr>
          <w:b/>
          <w:bCs/>
          <w:sz w:val="20"/>
          <w:szCs w:val="20"/>
        </w:rPr>
      </w:pPr>
      <w:r w:rsidRPr="00F05000">
        <w:rPr>
          <w:b/>
          <w:bCs/>
          <w:sz w:val="20"/>
          <w:szCs w:val="20"/>
        </w:rPr>
        <w:t>Figure 3: Paediatric trend analysis: Queensland ED presentations for furniture tip-over incidents (presenting to paediatric hospitals only) involving selected storage furniture from July 2006 to June 2020 (N=340):</w:t>
      </w:r>
      <w:r w:rsidRPr="00F05000">
        <w:rPr>
          <w:rStyle w:val="FootnoteReference"/>
          <w:b/>
          <w:bCs/>
          <w:sz w:val="20"/>
          <w:szCs w:val="20"/>
        </w:rPr>
        <w:footnoteReference w:id="17"/>
      </w:r>
    </w:p>
    <w:p w14:paraId="13CC4DFA" w14:textId="77777777" w:rsidR="00DC412A" w:rsidRDefault="00DC412A" w:rsidP="00DC412A">
      <w:pPr>
        <w:spacing w:before="120"/>
      </w:pPr>
    </w:p>
    <w:p w14:paraId="1FD83834" w14:textId="77777777" w:rsidR="00DC412A" w:rsidRDefault="00DC412A" w:rsidP="00DC412A">
      <w:pPr>
        <w:spacing w:before="120"/>
        <w:jc w:val="center"/>
        <w:rPr>
          <w:highlight w:val="yellow"/>
        </w:rPr>
      </w:pPr>
      <w:r w:rsidRPr="007071D3">
        <w:rPr>
          <w:noProof/>
          <w:lang w:eastAsia="en-AU"/>
        </w:rPr>
        <w:drawing>
          <wp:inline distT="0" distB="0" distL="0" distR="0" wp14:anchorId="588F9B46" wp14:editId="1844BDA6">
            <wp:extent cx="4886325" cy="2347759"/>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499" t="18676" r="1617" b="2435"/>
                    <a:stretch/>
                  </pic:blipFill>
                  <pic:spPr bwMode="auto">
                    <a:xfrm>
                      <a:off x="0" y="0"/>
                      <a:ext cx="4940280" cy="2373683"/>
                    </a:xfrm>
                    <a:prstGeom prst="rect">
                      <a:avLst/>
                    </a:prstGeom>
                    <a:ln>
                      <a:noFill/>
                    </a:ln>
                    <a:extLst>
                      <a:ext uri="{53640926-AAD7-44D8-BBD7-CCE9431645EC}">
                        <a14:shadowObscured xmlns:a14="http://schemas.microsoft.com/office/drawing/2010/main"/>
                      </a:ext>
                    </a:extLst>
                  </pic:spPr>
                </pic:pic>
              </a:graphicData>
            </a:graphic>
          </wp:inline>
        </w:drawing>
      </w:r>
    </w:p>
    <w:p w14:paraId="44F0E833" w14:textId="77777777" w:rsidR="00DC412A" w:rsidRPr="0012538F" w:rsidRDefault="00DC412A" w:rsidP="00DC412A">
      <w:pPr>
        <w:spacing w:before="120"/>
      </w:pPr>
      <w:r w:rsidRPr="0023456C">
        <w:t>TV</w:t>
      </w:r>
      <w:r>
        <w:t>-</w:t>
      </w:r>
      <w:r w:rsidRPr="0023456C">
        <w:t xml:space="preserve">related incidents have also been included </w:t>
      </w:r>
      <w:r>
        <w:t>in Figure 3</w:t>
      </w:r>
      <w:r w:rsidRPr="0023456C">
        <w:t xml:space="preserve"> for comparison. Whilst the number of storage furniture related incidents has fluctuated, the number of TV-related incidents has declined significantly during the study period. This is likely due to recent introduction of TV stability standards and a trend towards flat screen wall mounted devices.</w:t>
      </w:r>
    </w:p>
    <w:p w14:paraId="6908C70A" w14:textId="41CC6EDC" w:rsidR="00DC412A" w:rsidRDefault="00DC412A" w:rsidP="00DC412A">
      <w:pPr>
        <w:spacing w:before="120"/>
        <w:rPr>
          <w:b/>
          <w:bCs/>
          <w:sz w:val="20"/>
          <w:szCs w:val="20"/>
        </w:rPr>
      </w:pPr>
      <w:bookmarkStart w:id="287" w:name="_Hlk118712943"/>
      <w:r w:rsidRPr="00F05000">
        <w:rPr>
          <w:b/>
          <w:bCs/>
          <w:sz w:val="20"/>
          <w:szCs w:val="20"/>
        </w:rPr>
        <w:t xml:space="preserve">Figure </w:t>
      </w:r>
      <w:r>
        <w:rPr>
          <w:b/>
          <w:bCs/>
          <w:sz w:val="20"/>
          <w:szCs w:val="20"/>
        </w:rPr>
        <w:t xml:space="preserve">4 Victoria </w:t>
      </w:r>
      <w:r w:rsidRPr="00590C0E">
        <w:rPr>
          <w:b/>
          <w:bCs/>
          <w:sz w:val="20"/>
          <w:szCs w:val="20"/>
        </w:rPr>
        <w:t>ED presentations involving</w:t>
      </w:r>
      <w:r>
        <w:rPr>
          <w:b/>
          <w:bCs/>
          <w:sz w:val="20"/>
          <w:szCs w:val="20"/>
        </w:rPr>
        <w:t xml:space="preserve"> selected</w:t>
      </w:r>
      <w:r w:rsidRPr="00590C0E">
        <w:rPr>
          <w:b/>
          <w:bCs/>
          <w:sz w:val="20"/>
          <w:szCs w:val="20"/>
        </w:rPr>
        <w:t xml:space="preserve"> storage furniture</w:t>
      </w:r>
      <w:r>
        <w:rPr>
          <w:b/>
          <w:bCs/>
          <w:sz w:val="20"/>
          <w:szCs w:val="20"/>
        </w:rPr>
        <w:t xml:space="preserve"> </w:t>
      </w:r>
      <w:r w:rsidRPr="00590C0E">
        <w:rPr>
          <w:b/>
          <w:bCs/>
          <w:sz w:val="20"/>
          <w:szCs w:val="20"/>
        </w:rPr>
        <w:t>over</w:t>
      </w:r>
      <w:r>
        <w:rPr>
          <w:b/>
          <w:bCs/>
          <w:sz w:val="20"/>
          <w:szCs w:val="20"/>
        </w:rPr>
        <w:t xml:space="preserve"> July</w:t>
      </w:r>
      <w:r w:rsidRPr="00590C0E">
        <w:rPr>
          <w:b/>
          <w:bCs/>
          <w:sz w:val="20"/>
          <w:szCs w:val="20"/>
        </w:rPr>
        <w:t xml:space="preserve"> 200</w:t>
      </w:r>
      <w:r>
        <w:rPr>
          <w:b/>
          <w:bCs/>
          <w:sz w:val="20"/>
          <w:szCs w:val="20"/>
        </w:rPr>
        <w:t>6</w:t>
      </w:r>
      <w:r w:rsidRPr="00590C0E">
        <w:rPr>
          <w:b/>
          <w:bCs/>
          <w:sz w:val="20"/>
          <w:szCs w:val="20"/>
        </w:rPr>
        <w:t xml:space="preserve"> to </w:t>
      </w:r>
      <w:r>
        <w:rPr>
          <w:b/>
          <w:bCs/>
          <w:sz w:val="20"/>
          <w:szCs w:val="20"/>
        </w:rPr>
        <w:t xml:space="preserve">July </w:t>
      </w:r>
      <w:r w:rsidRPr="00590C0E">
        <w:rPr>
          <w:b/>
          <w:bCs/>
          <w:sz w:val="20"/>
          <w:szCs w:val="20"/>
        </w:rPr>
        <w:t>20</w:t>
      </w:r>
      <w:r>
        <w:rPr>
          <w:b/>
          <w:bCs/>
          <w:sz w:val="20"/>
          <w:szCs w:val="20"/>
        </w:rPr>
        <w:t>20 (N=</w:t>
      </w:r>
      <w:r w:rsidR="00A1363A">
        <w:rPr>
          <w:b/>
          <w:bCs/>
          <w:sz w:val="20"/>
          <w:szCs w:val="20"/>
        </w:rPr>
        <w:t>971</w:t>
      </w:r>
      <w:r>
        <w:rPr>
          <w:b/>
          <w:bCs/>
          <w:sz w:val="20"/>
          <w:szCs w:val="20"/>
        </w:rPr>
        <w:t>)</w:t>
      </w:r>
      <w:r w:rsidRPr="00590C0E">
        <w:rPr>
          <w:b/>
          <w:bCs/>
          <w:sz w:val="20"/>
          <w:szCs w:val="20"/>
        </w:rPr>
        <w:t>.</w:t>
      </w:r>
    </w:p>
    <w:bookmarkEnd w:id="287"/>
    <w:p w14:paraId="10C8B4A9" w14:textId="4FB24F37" w:rsidR="00DC412A" w:rsidRDefault="00A1363A" w:rsidP="00DC412A">
      <w:pPr>
        <w:spacing w:before="120"/>
        <w:jc w:val="center"/>
        <w:rPr>
          <w:b/>
          <w:bCs/>
          <w:sz w:val="20"/>
          <w:szCs w:val="20"/>
        </w:rPr>
      </w:pPr>
      <w:r>
        <w:rPr>
          <w:noProof/>
          <w:lang w:eastAsia="en-AU"/>
        </w:rPr>
        <w:drawing>
          <wp:inline distT="0" distB="0" distL="0" distR="0" wp14:anchorId="32569EA7" wp14:editId="72BDC29A">
            <wp:extent cx="5534025" cy="2228850"/>
            <wp:effectExtent l="0" t="0" r="0" b="0"/>
            <wp:docPr id="6" name="Chart 6">
              <a:extLst xmlns:a="http://schemas.openxmlformats.org/drawingml/2006/main">
                <a:ext uri="{FF2B5EF4-FFF2-40B4-BE49-F238E27FC236}">
                  <a16:creationId xmlns:a16="http://schemas.microsoft.com/office/drawing/2014/main" id="{7C97658C-6427-4417-BDF9-12A7A5CAA0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37B5D43" w14:textId="7E622E09" w:rsidR="00DC412A" w:rsidRPr="00F37C10" w:rsidRDefault="00E325C0" w:rsidP="00DC412A">
      <w:pPr>
        <w:spacing w:before="120"/>
      </w:pPr>
      <w:r>
        <w:t>Figure</w:t>
      </w:r>
      <w:r w:rsidR="004666BC">
        <w:t>s 3 and</w:t>
      </w:r>
      <w:r>
        <w:t xml:space="preserve"> 4 do</w:t>
      </w:r>
      <w:r w:rsidR="00D460F3">
        <w:t xml:space="preserve"> </w:t>
      </w:r>
      <w:r>
        <w:t xml:space="preserve">not account for population </w:t>
      </w:r>
      <w:r w:rsidR="001C4244">
        <w:t>changes over time</w:t>
      </w:r>
      <w:r>
        <w:t xml:space="preserve">. </w:t>
      </w:r>
      <w:r w:rsidR="00DC412A" w:rsidRPr="00C75E6B">
        <w:t xml:space="preserve">The injury data </w:t>
      </w:r>
      <w:r w:rsidR="00DC412A">
        <w:t>in Figure 3 and 4</w:t>
      </w:r>
      <w:r w:rsidR="00DC412A" w:rsidRPr="00C75E6B">
        <w:t xml:space="preserve"> shows incidents involving</w:t>
      </w:r>
      <w:r w:rsidR="00DC412A">
        <w:t xml:space="preserve"> selected</w:t>
      </w:r>
      <w:r w:rsidR="00DC412A" w:rsidRPr="00C75E6B">
        <w:t xml:space="preserve"> storage furniture </w:t>
      </w:r>
      <w:r w:rsidR="00DC412A">
        <w:t xml:space="preserve">increased </w:t>
      </w:r>
      <w:r w:rsidR="00DC412A" w:rsidRPr="00C75E6B">
        <w:t>between 2006 and 20</w:t>
      </w:r>
      <w:r w:rsidR="00DC412A" w:rsidRPr="00F05000">
        <w:t>20</w:t>
      </w:r>
      <w:r w:rsidR="00DC412A">
        <w:t>, though there is some year-to-year variance</w:t>
      </w:r>
      <w:r w:rsidR="00DC412A" w:rsidRPr="00C75E6B">
        <w:t>.</w:t>
      </w:r>
      <w:r w:rsidR="00134666">
        <w:t xml:space="preserve"> </w:t>
      </w:r>
    </w:p>
    <w:p w14:paraId="6EB5A5D5" w14:textId="77777777" w:rsidR="00DC412A" w:rsidRPr="0012538F" w:rsidRDefault="00DC412A" w:rsidP="00DC412A">
      <w:pPr>
        <w:pStyle w:val="Heading3"/>
        <w:rPr>
          <w:sz w:val="20"/>
        </w:rPr>
      </w:pPr>
      <w:bookmarkStart w:id="288" w:name="_Toc126074111"/>
      <w:r w:rsidRPr="0012538F">
        <w:t>Types of furniture</w:t>
      </w:r>
      <w:bookmarkEnd w:id="288"/>
    </w:p>
    <w:p w14:paraId="49A7DC0E" w14:textId="77777777" w:rsidR="00DC412A" w:rsidRPr="00F05000" w:rsidRDefault="00DC412A" w:rsidP="00DC412A">
      <w:pPr>
        <w:spacing w:before="120"/>
        <w:rPr>
          <w:b/>
          <w:bCs/>
          <w:sz w:val="18"/>
          <w:szCs w:val="18"/>
          <w:highlight w:val="yellow"/>
        </w:rPr>
      </w:pPr>
      <w:r w:rsidRPr="00204EE6">
        <w:rPr>
          <w:b/>
          <w:bCs/>
          <w:sz w:val="20"/>
          <w:szCs w:val="20"/>
        </w:rPr>
        <w:t xml:space="preserve">Figure 5. </w:t>
      </w:r>
      <w:r w:rsidRPr="009220B5">
        <w:rPr>
          <w:b/>
          <w:bCs/>
          <w:sz w:val="20"/>
          <w:szCs w:val="20"/>
        </w:rPr>
        <w:t>Queensland ED presentations to participating QISU sites for furniture tip-over incidents involving selected storage furniture by product type, all ages, N = 160 (January 2016 – June 2020)*</w:t>
      </w:r>
    </w:p>
    <w:p w14:paraId="47B1F2B5" w14:textId="77777777" w:rsidR="00DC412A" w:rsidRDefault="00DC412A" w:rsidP="00DC412A">
      <w:pPr>
        <w:spacing w:before="120"/>
        <w:jc w:val="center"/>
        <w:rPr>
          <w:sz w:val="20"/>
          <w:szCs w:val="20"/>
          <w:highlight w:val="yellow"/>
        </w:rPr>
      </w:pPr>
      <w:r>
        <w:rPr>
          <w:noProof/>
          <w:lang w:eastAsia="en-AU"/>
        </w:rPr>
        <w:drawing>
          <wp:inline distT="0" distB="0" distL="0" distR="0" wp14:anchorId="3D4B2236" wp14:editId="0415EE37">
            <wp:extent cx="5943600" cy="3171825"/>
            <wp:effectExtent l="0" t="0" r="0" b="0"/>
            <wp:docPr id="1" name="Chart 1">
              <a:extLst xmlns:a="http://schemas.openxmlformats.org/drawingml/2006/main">
                <a:ext uri="{FF2B5EF4-FFF2-40B4-BE49-F238E27FC236}">
                  <a16:creationId xmlns:a16="http://schemas.microsoft.com/office/drawing/2014/main" id="{F4FE3DBB-934A-4DAD-A3F0-64F3F6628B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3B27242" w14:textId="56607CE3" w:rsidR="00F57405" w:rsidRDefault="00DC412A">
      <w:pPr>
        <w:rPr>
          <w:szCs w:val="16"/>
          <w:vertAlign w:val="subscript"/>
        </w:rPr>
      </w:pPr>
      <w:r>
        <w:rPr>
          <w:szCs w:val="16"/>
          <w:vertAlign w:val="subscript"/>
        </w:rPr>
        <w:t>*</w:t>
      </w:r>
      <w:r w:rsidRPr="002B79A9">
        <w:rPr>
          <w:szCs w:val="16"/>
          <w:vertAlign w:val="subscript"/>
        </w:rPr>
        <w:t>Data presented excludes the following cases: 26 injuries related to television, 19 injuries related to children climbing and falling off (near miss events).</w:t>
      </w:r>
    </w:p>
    <w:p w14:paraId="33583754" w14:textId="1810784B" w:rsidR="002207DD" w:rsidRDefault="00404037" w:rsidP="00DC412A">
      <w:pPr>
        <w:rPr>
          <w:noProof/>
        </w:rPr>
      </w:pPr>
      <w:r>
        <w:rPr>
          <w:b/>
          <w:sz w:val="20"/>
          <w:szCs w:val="20"/>
        </w:rPr>
        <w:t xml:space="preserve"> </w:t>
      </w:r>
      <w:r w:rsidR="00DC412A" w:rsidRPr="005D4886">
        <w:rPr>
          <w:b/>
          <w:sz w:val="20"/>
          <w:szCs w:val="20"/>
        </w:rPr>
        <w:t xml:space="preserve">Figure </w:t>
      </w:r>
      <w:r w:rsidR="00DC412A">
        <w:rPr>
          <w:b/>
          <w:sz w:val="20"/>
          <w:szCs w:val="20"/>
        </w:rPr>
        <w:t>6</w:t>
      </w:r>
      <w:r w:rsidR="00DC412A" w:rsidRPr="005D4886">
        <w:rPr>
          <w:b/>
          <w:sz w:val="20"/>
          <w:szCs w:val="20"/>
        </w:rPr>
        <w:t>. Victoria ED presentations</w:t>
      </w:r>
      <w:r w:rsidR="00DC412A">
        <w:rPr>
          <w:b/>
          <w:sz w:val="20"/>
          <w:szCs w:val="20"/>
        </w:rPr>
        <w:t xml:space="preserve"> for selected storage furniture</w:t>
      </w:r>
      <w:r w:rsidR="00DC412A" w:rsidRPr="005D4886">
        <w:rPr>
          <w:b/>
          <w:sz w:val="20"/>
          <w:szCs w:val="20"/>
        </w:rPr>
        <w:t xml:space="preserve"> by product type</w:t>
      </w:r>
      <w:r w:rsidR="00DC412A">
        <w:rPr>
          <w:b/>
          <w:sz w:val="20"/>
          <w:szCs w:val="20"/>
        </w:rPr>
        <w:t>, (</w:t>
      </w:r>
      <w:r w:rsidR="00DC412A" w:rsidRPr="005D4886">
        <w:rPr>
          <w:b/>
          <w:sz w:val="20"/>
          <w:szCs w:val="20"/>
        </w:rPr>
        <w:t>2016 to 2020</w:t>
      </w:r>
      <w:r w:rsidR="00DC412A">
        <w:rPr>
          <w:b/>
          <w:sz w:val="20"/>
          <w:szCs w:val="20"/>
        </w:rPr>
        <w:t>)</w:t>
      </w:r>
      <w:r w:rsidR="008226DC" w:rsidRPr="008226DC">
        <w:rPr>
          <w:noProof/>
        </w:rPr>
        <w:t xml:space="preserve"> </w:t>
      </w:r>
    </w:p>
    <w:p w14:paraId="1E81C118" w14:textId="3B2FC9A9" w:rsidR="00DC412A" w:rsidRDefault="008226DC" w:rsidP="00DC412A">
      <w:pPr>
        <w:rPr>
          <w:b/>
          <w:sz w:val="20"/>
          <w:szCs w:val="20"/>
        </w:rPr>
      </w:pPr>
      <w:r>
        <w:rPr>
          <w:noProof/>
          <w:lang w:eastAsia="en-AU"/>
        </w:rPr>
        <w:drawing>
          <wp:inline distT="0" distB="0" distL="0" distR="0" wp14:anchorId="60B4248A" wp14:editId="48CD6FEC">
            <wp:extent cx="5629275" cy="2876550"/>
            <wp:effectExtent l="0" t="0" r="0" b="0"/>
            <wp:docPr id="73" name="Chart 73">
              <a:extLst xmlns:a="http://schemas.openxmlformats.org/drawingml/2006/main">
                <a:ext uri="{FF2B5EF4-FFF2-40B4-BE49-F238E27FC236}">
                  <a16:creationId xmlns:a16="http://schemas.microsoft.com/office/drawing/2014/main" id="{03BCE5A3-0FDA-4B50-B820-DC8725738D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B3AC29B" w14:textId="198C1D0B" w:rsidR="00404037" w:rsidRDefault="00404037">
      <w:pPr>
        <w:rPr>
          <w:bCs/>
        </w:rPr>
      </w:pPr>
      <w:r>
        <w:rPr>
          <w:bCs/>
        </w:rPr>
        <w:br w:type="page"/>
      </w:r>
    </w:p>
    <w:p w14:paraId="0F0DB9C0" w14:textId="66EFF1E6" w:rsidR="00F82CF8" w:rsidRDefault="00F82CF8" w:rsidP="00F05000">
      <w:pPr>
        <w:spacing w:before="120"/>
        <w:rPr>
          <w:sz w:val="20"/>
          <w:szCs w:val="20"/>
        </w:rPr>
      </w:pPr>
    </w:p>
    <w:p w14:paraId="1BE7FFB0" w14:textId="5AB1C35F" w:rsidR="001F680B" w:rsidRPr="005D4886" w:rsidRDefault="008850A2" w:rsidP="00F05000">
      <w:pPr>
        <w:pStyle w:val="Heading2"/>
        <w:spacing w:before="120"/>
      </w:pPr>
      <w:bookmarkStart w:id="289" w:name="_Toc113977086"/>
      <w:bookmarkStart w:id="290" w:name="_Toc114039185"/>
      <w:bookmarkStart w:id="291" w:name="_Toc114142853"/>
      <w:bookmarkStart w:id="292" w:name="_Toc114232552"/>
      <w:bookmarkStart w:id="293" w:name="_Toc114233030"/>
      <w:bookmarkStart w:id="294" w:name="_Toc114233507"/>
      <w:bookmarkStart w:id="295" w:name="_Toc115341166"/>
      <w:bookmarkStart w:id="296" w:name="_Toc115341675"/>
      <w:bookmarkStart w:id="297" w:name="_Toc115342184"/>
      <w:bookmarkStart w:id="298" w:name="_Toc116285590"/>
      <w:bookmarkStart w:id="299" w:name="_Toc116290682"/>
      <w:bookmarkStart w:id="300" w:name="_Toc113977087"/>
      <w:bookmarkStart w:id="301" w:name="_Toc114039186"/>
      <w:bookmarkStart w:id="302" w:name="_Toc114142854"/>
      <w:bookmarkStart w:id="303" w:name="_Toc114232553"/>
      <w:bookmarkStart w:id="304" w:name="_Toc114233031"/>
      <w:bookmarkStart w:id="305" w:name="_Toc114233508"/>
      <w:bookmarkStart w:id="306" w:name="_Toc115341167"/>
      <w:bookmarkStart w:id="307" w:name="_Toc115341676"/>
      <w:bookmarkStart w:id="308" w:name="_Toc115342185"/>
      <w:bookmarkStart w:id="309" w:name="_Toc116285591"/>
      <w:bookmarkStart w:id="310" w:name="_Toc116290683"/>
      <w:bookmarkStart w:id="311" w:name="_Toc126074112"/>
      <w:bookmarkStart w:id="312" w:name="_Toc99466243"/>
      <w:bookmarkStart w:id="313" w:name="_Hlk118452677"/>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t>Previous attempts to mitigate toppling furniture risk</w:t>
      </w:r>
      <w:bookmarkEnd w:id="311"/>
    </w:p>
    <w:p w14:paraId="3DE6B453" w14:textId="60EA48E1" w:rsidR="00A643C5" w:rsidRPr="004C396F" w:rsidRDefault="00B76FEE" w:rsidP="00F05000">
      <w:pPr>
        <w:spacing w:before="120"/>
      </w:pPr>
      <w:r w:rsidRPr="004C396F">
        <w:t>I</w:t>
      </w:r>
      <w:r w:rsidR="003F6ACB" w:rsidRPr="004C396F">
        <w:t xml:space="preserve">ndustry, </w:t>
      </w:r>
      <w:r w:rsidR="00D646E9">
        <w:t xml:space="preserve">state </w:t>
      </w:r>
      <w:r w:rsidR="003F6ACB" w:rsidRPr="004C396F">
        <w:t>g</w:t>
      </w:r>
      <w:r w:rsidR="0004403C" w:rsidRPr="004C396F">
        <w:t xml:space="preserve">overnments and consumer and child safety advocates </w:t>
      </w:r>
      <w:r w:rsidR="001A3DBA">
        <w:t xml:space="preserve">have </w:t>
      </w:r>
      <w:r w:rsidR="00DB0CDE">
        <w:t>attempted to mitigate the risk of toppling furniture through several</w:t>
      </w:r>
      <w:r w:rsidR="00C5025F">
        <w:t xml:space="preserve"> </w:t>
      </w:r>
      <w:r w:rsidR="00FF012B">
        <w:t>initiatives</w:t>
      </w:r>
      <w:r w:rsidR="00DB0CDE">
        <w:t>, but these have not been effective</w:t>
      </w:r>
      <w:r w:rsidR="00C5025F">
        <w:t>.</w:t>
      </w:r>
      <w:bookmarkEnd w:id="312"/>
      <w:r w:rsidR="00DB0CDE">
        <w:t xml:space="preserve"> For example</w:t>
      </w:r>
      <w:r w:rsidR="00A643C5" w:rsidRPr="004C396F">
        <w:t>:</w:t>
      </w:r>
    </w:p>
    <w:p w14:paraId="6DAD1545" w14:textId="1F88CF60" w:rsidR="00A643C5" w:rsidRDefault="00A643C5" w:rsidP="00806096">
      <w:pPr>
        <w:pStyle w:val="ListParagraph"/>
        <w:numPr>
          <w:ilvl w:val="0"/>
          <w:numId w:val="40"/>
        </w:numPr>
      </w:pPr>
      <w:r w:rsidRPr="004C396F">
        <w:t>T</w:t>
      </w:r>
      <w:r w:rsidR="001003AE" w:rsidRPr="004C396F">
        <w:t xml:space="preserve">he National Retail Association (NRA) released </w:t>
      </w:r>
      <w:r w:rsidR="001003AE" w:rsidRPr="00B66F23">
        <w:rPr>
          <w:b/>
          <w:bCs/>
        </w:rPr>
        <w:t>the NRA Guide</w:t>
      </w:r>
      <w:r w:rsidR="001003AE" w:rsidRPr="004C396F">
        <w:t xml:space="preserve"> in 2016</w:t>
      </w:r>
      <w:r w:rsidR="00973A90">
        <w:t>. This</w:t>
      </w:r>
      <w:r w:rsidR="001B368A">
        <w:t xml:space="preserve"> </w:t>
      </w:r>
      <w:r w:rsidR="00973A90">
        <w:t>is</w:t>
      </w:r>
      <w:r w:rsidR="00973A90" w:rsidRPr="004C396F">
        <w:t xml:space="preserve"> </w:t>
      </w:r>
      <w:r w:rsidR="00973A90">
        <w:t>a b</w:t>
      </w:r>
      <w:r w:rsidR="00973A90" w:rsidRPr="004C396F">
        <w:t xml:space="preserve">est practice guide </w:t>
      </w:r>
      <w:r w:rsidR="00E61095">
        <w:t xml:space="preserve">for </w:t>
      </w:r>
      <w:r w:rsidR="00973A90" w:rsidRPr="004C396F">
        <w:t>furniture and television tip-over prevention</w:t>
      </w:r>
      <w:r w:rsidR="00973A90">
        <w:t xml:space="preserve"> </w:t>
      </w:r>
      <w:r w:rsidR="00E61095">
        <w:t xml:space="preserve">to </w:t>
      </w:r>
      <w:r w:rsidR="008E05A3">
        <w:t>p</w:t>
      </w:r>
      <w:r w:rsidR="00973A90">
        <w:t>romot</w:t>
      </w:r>
      <w:r w:rsidR="00E61095">
        <w:t>e</w:t>
      </w:r>
      <w:r w:rsidR="00973A90">
        <w:t xml:space="preserve"> </w:t>
      </w:r>
      <w:r w:rsidR="00D118BA">
        <w:t>stability, anchoring and education</w:t>
      </w:r>
      <w:r w:rsidR="00E61095">
        <w:t xml:space="preserve"> by industry</w:t>
      </w:r>
      <w:r w:rsidR="001003AE" w:rsidRPr="004C396F">
        <w:t>.</w:t>
      </w:r>
      <w:r w:rsidR="00C361A8" w:rsidRPr="004C396F">
        <w:rPr>
          <w:rStyle w:val="FootnoteReference"/>
        </w:rPr>
        <w:footnoteReference w:id="18"/>
      </w:r>
      <w:r w:rsidR="00C361A8" w:rsidRPr="004C396F">
        <w:t xml:space="preserve"> </w:t>
      </w:r>
      <w:r w:rsidR="001003AE" w:rsidRPr="004C396F">
        <w:t xml:space="preserve">The ACCC and state and territory ACL regulators evaluated the implementation of these recommendations as part of the National Strategy in 2019 and found that there was insufficient uptake of the recommendations. </w:t>
      </w:r>
    </w:p>
    <w:p w14:paraId="5583154E" w14:textId="7FD2095D" w:rsidR="00A643C5" w:rsidRPr="004C396F" w:rsidRDefault="00E61095" w:rsidP="00806096">
      <w:pPr>
        <w:pStyle w:val="ListParagraph"/>
        <w:numPr>
          <w:ilvl w:val="0"/>
          <w:numId w:val="40"/>
        </w:numPr>
      </w:pPr>
      <w:r w:rsidRPr="00B66F23">
        <w:rPr>
          <w:b/>
          <w:bCs/>
        </w:rPr>
        <w:t>V</w:t>
      </w:r>
      <w:r w:rsidR="007E3E02" w:rsidRPr="00B66F23">
        <w:rPr>
          <w:b/>
          <w:bCs/>
        </w:rPr>
        <w:t>oluntary</w:t>
      </w:r>
      <w:r w:rsidR="001003AE" w:rsidRPr="00B66F23">
        <w:rPr>
          <w:b/>
          <w:bCs/>
        </w:rPr>
        <w:t xml:space="preserve"> Australian and international</w:t>
      </w:r>
      <w:r w:rsidR="007E3E02" w:rsidRPr="00B66F23">
        <w:rPr>
          <w:b/>
          <w:bCs/>
        </w:rPr>
        <w:t xml:space="preserve"> standards</w:t>
      </w:r>
      <w:r w:rsidR="00DB0CDE">
        <w:t xml:space="preserve"> have been</w:t>
      </w:r>
      <w:r w:rsidR="007E3E02" w:rsidRPr="004C396F">
        <w:t xml:space="preserve"> developed by industry</w:t>
      </w:r>
      <w:r w:rsidR="00D118BA">
        <w:t>, including stability, anchoring and education requirements</w:t>
      </w:r>
      <w:r w:rsidR="00DB0CDE">
        <w:t>.</w:t>
      </w:r>
      <w:r w:rsidR="002348E0">
        <w:t xml:space="preserve"> The</w:t>
      </w:r>
      <w:r w:rsidR="00DB0CDE">
        <w:t xml:space="preserve"> </w:t>
      </w:r>
      <w:r w:rsidR="00CD3094" w:rsidRPr="00B55AF1">
        <w:t xml:space="preserve">Australasian Furnishing Research and Development Institute </w:t>
      </w:r>
      <w:r w:rsidR="00CD3094">
        <w:t xml:space="preserve">(Furntech) </w:t>
      </w:r>
      <w:r w:rsidR="002348E0" w:rsidRPr="00B55AF1">
        <w:t>is an independent not-for-profit technical organisation providing standards, testing, product certification and research for buyers and sellers of furniture.</w:t>
      </w:r>
      <w:r w:rsidR="002348E0">
        <w:t xml:space="preserve"> It is the only testing laboratory in Australia that assesses furniture stability. Furntech </w:t>
      </w:r>
      <w:r w:rsidR="007E3E02" w:rsidRPr="004C396F">
        <w:t xml:space="preserve">Australia advised that they </w:t>
      </w:r>
      <w:r w:rsidR="00DB0CDE">
        <w:t xml:space="preserve">are </w:t>
      </w:r>
      <w:r w:rsidR="007E3E02" w:rsidRPr="004C396F">
        <w:t>rarely asked to test domestic furniture to these standards</w:t>
      </w:r>
      <w:r w:rsidR="00DB0CDE">
        <w:t xml:space="preserve">, indicating </w:t>
      </w:r>
      <w:r w:rsidR="00FD3BDB">
        <w:t xml:space="preserve">suppliers are not seeking accreditation </w:t>
      </w:r>
      <w:r w:rsidR="00B66F23">
        <w:t>and compliance with a voluntary standard</w:t>
      </w:r>
      <w:r w:rsidR="00C12CE2" w:rsidRPr="004C396F">
        <w:t>.</w:t>
      </w:r>
      <w:r w:rsidR="00FD10F8" w:rsidRPr="004C396F">
        <w:rPr>
          <w:rStyle w:val="FootnoteReference"/>
        </w:rPr>
        <w:footnoteReference w:id="19"/>
      </w:r>
    </w:p>
    <w:p w14:paraId="22443732" w14:textId="23856990" w:rsidR="00A643C5" w:rsidRPr="004C396F" w:rsidRDefault="004F6747" w:rsidP="00806096">
      <w:pPr>
        <w:pStyle w:val="ListParagraph"/>
        <w:numPr>
          <w:ilvl w:val="0"/>
          <w:numId w:val="40"/>
        </w:numPr>
      </w:pPr>
      <w:r w:rsidRPr="008E05A3">
        <w:rPr>
          <w:b/>
          <w:bCs/>
        </w:rPr>
        <w:t>Tenancy laws</w:t>
      </w:r>
      <w:r w:rsidRPr="004C396F" w:rsidDel="00F72E06">
        <w:t xml:space="preserve"> </w:t>
      </w:r>
      <w:r w:rsidR="00486F8C" w:rsidRPr="004C396F" w:rsidDel="00F72E06">
        <w:t xml:space="preserve">making it easier for tenants to </w:t>
      </w:r>
      <w:r w:rsidR="00D118BA">
        <w:t>anchor</w:t>
      </w:r>
      <w:r w:rsidR="00D118BA" w:rsidRPr="004C396F" w:rsidDel="00F72E06">
        <w:t xml:space="preserve"> </w:t>
      </w:r>
      <w:r w:rsidR="00486F8C" w:rsidRPr="004C396F" w:rsidDel="00F72E06">
        <w:t xml:space="preserve">furniture to walls has been </w:t>
      </w:r>
      <w:r w:rsidR="00070C42">
        <w:t>implemented</w:t>
      </w:r>
      <w:r w:rsidR="00070C42" w:rsidRPr="004C396F" w:rsidDel="00F72E06">
        <w:t xml:space="preserve"> </w:t>
      </w:r>
      <w:r w:rsidR="00486F8C" w:rsidRPr="004C396F">
        <w:t>in New South Wales, Victoria</w:t>
      </w:r>
      <w:r w:rsidR="00D118BA">
        <w:t xml:space="preserve"> and Western Australia</w:t>
      </w:r>
      <w:r w:rsidR="00486F8C" w:rsidRPr="004C396F">
        <w:t xml:space="preserve"> (accounting for nearly half the Australian population).</w:t>
      </w:r>
      <w:r w:rsidR="00486F8C" w:rsidRPr="004C396F">
        <w:rPr>
          <w:rStyle w:val="FootnoteReference"/>
        </w:rPr>
        <w:footnoteReference w:id="20"/>
      </w:r>
      <w:r w:rsidR="00A643C5" w:rsidRPr="004C396F">
        <w:t xml:space="preserve"> </w:t>
      </w:r>
      <w:r>
        <w:t>This legislation has</w:t>
      </w:r>
      <w:r w:rsidR="00486F8C" w:rsidRPr="004C396F">
        <w:t xml:space="preserve"> only recently been </w:t>
      </w:r>
      <w:r w:rsidR="0055562E">
        <w:t xml:space="preserve">introduced </w:t>
      </w:r>
      <w:r w:rsidR="00486F8C" w:rsidRPr="004C396F">
        <w:t xml:space="preserve">and </w:t>
      </w:r>
      <w:r w:rsidR="0055562E">
        <w:t>there is no</w:t>
      </w:r>
      <w:r>
        <w:t xml:space="preserve"> current</w:t>
      </w:r>
      <w:r w:rsidR="0055562E">
        <w:t xml:space="preserve"> data about take</w:t>
      </w:r>
      <w:r w:rsidR="00D118BA">
        <w:t>-</w:t>
      </w:r>
      <w:r w:rsidR="0055562E">
        <w:t>up</w:t>
      </w:r>
      <w:bookmarkStart w:id="314" w:name="_Hlk96421122"/>
      <w:r w:rsidR="009D0401">
        <w:t xml:space="preserve"> </w:t>
      </w:r>
      <w:r w:rsidR="009D2368">
        <w:t>so</w:t>
      </w:r>
      <w:r w:rsidR="009D0401">
        <w:t xml:space="preserve"> </w:t>
      </w:r>
      <w:r w:rsidR="002A7E62">
        <w:t xml:space="preserve">the </w:t>
      </w:r>
      <w:r w:rsidR="006C0FDC">
        <w:t>effectiveness</w:t>
      </w:r>
      <w:r w:rsidR="002A7E62">
        <w:t xml:space="preserve"> of this </w:t>
      </w:r>
      <w:r w:rsidR="009D0401">
        <w:t>initiative</w:t>
      </w:r>
      <w:r w:rsidR="002A7E62">
        <w:t xml:space="preserve"> cannot </w:t>
      </w:r>
      <w:r w:rsidR="009D0401">
        <w:t>be fully assessed.</w:t>
      </w:r>
    </w:p>
    <w:p w14:paraId="7324F0E6" w14:textId="1087363F" w:rsidR="00D85945" w:rsidRPr="004C396F" w:rsidRDefault="00D85945" w:rsidP="00806096">
      <w:pPr>
        <w:pStyle w:val="ListParagraph"/>
        <w:numPr>
          <w:ilvl w:val="0"/>
          <w:numId w:val="40"/>
        </w:numPr>
      </w:pPr>
      <w:r w:rsidRPr="008E05A3">
        <w:rPr>
          <w:b/>
          <w:bCs/>
        </w:rPr>
        <w:t>Coroners</w:t>
      </w:r>
      <w:r w:rsidRPr="004C396F">
        <w:t xml:space="preserve"> have </w:t>
      </w:r>
      <w:r w:rsidR="00726AB1">
        <w:t>recognised the need</w:t>
      </w:r>
      <w:r w:rsidRPr="004C396F">
        <w:t xml:space="preserve"> </w:t>
      </w:r>
      <w:r w:rsidR="00D118BA">
        <w:t>to reduce</w:t>
      </w:r>
      <w:r w:rsidRPr="004C396F">
        <w:t xml:space="preserve"> the risk of toppling furniture </w:t>
      </w:r>
      <w:r w:rsidR="00726AB1">
        <w:t>and have made a range of recommendations, including</w:t>
      </w:r>
      <w:r w:rsidR="00726AB1" w:rsidRPr="004C396F">
        <w:t xml:space="preserve"> </w:t>
      </w:r>
      <w:r w:rsidRPr="004C396F">
        <w:t>that the ACCC</w:t>
      </w:r>
      <w:r w:rsidR="00A643C5" w:rsidRPr="004C396F">
        <w:t>:</w:t>
      </w:r>
    </w:p>
    <w:p w14:paraId="6B3A994B" w14:textId="06DCEE4F" w:rsidR="00D85945" w:rsidRPr="004C396F" w:rsidRDefault="00D85945" w:rsidP="00806096">
      <w:pPr>
        <w:pStyle w:val="ListParagraph"/>
        <w:numPr>
          <w:ilvl w:val="0"/>
          <w:numId w:val="41"/>
        </w:numPr>
        <w:ind w:left="1276"/>
      </w:pPr>
      <w:r w:rsidRPr="004C396F">
        <w:t xml:space="preserve">consider the suitability of the voluntary Australian </w:t>
      </w:r>
      <w:r w:rsidR="007539C4">
        <w:t>s</w:t>
      </w:r>
      <w:r w:rsidRPr="004C396F">
        <w:t xml:space="preserve">tandard </w:t>
      </w:r>
      <w:r w:rsidR="00CB214F">
        <w:t>(</w:t>
      </w:r>
      <w:r w:rsidRPr="004C396F">
        <w:t>AS/NZS 4935:2009</w:t>
      </w:r>
      <w:r w:rsidR="00CB214F">
        <w:t>)</w:t>
      </w:r>
      <w:r w:rsidRPr="004C396F">
        <w:t xml:space="preserve"> for introduction </w:t>
      </w:r>
      <w:r w:rsidR="005F2099">
        <w:t>as</w:t>
      </w:r>
      <w:r w:rsidR="005F2099" w:rsidRPr="004C396F">
        <w:t xml:space="preserve"> </w:t>
      </w:r>
      <w:r w:rsidRPr="004C396F">
        <w:t>a mandatory standard under the ACL</w:t>
      </w:r>
      <w:r w:rsidR="00B66F23">
        <w:t>.</w:t>
      </w:r>
    </w:p>
    <w:p w14:paraId="4217C842" w14:textId="283954F0" w:rsidR="00D85945" w:rsidRPr="004C396F" w:rsidRDefault="00D85945" w:rsidP="00806096">
      <w:pPr>
        <w:pStyle w:val="ListParagraph"/>
        <w:numPr>
          <w:ilvl w:val="0"/>
          <w:numId w:val="41"/>
        </w:numPr>
        <w:ind w:left="1276"/>
      </w:pPr>
      <w:r w:rsidRPr="004C396F">
        <w:t xml:space="preserve">consider </w:t>
      </w:r>
      <w:r w:rsidR="00D118BA">
        <w:t>mandating</w:t>
      </w:r>
      <w:r w:rsidRPr="004C396F">
        <w:t xml:space="preserve"> safety information</w:t>
      </w:r>
      <w:r w:rsidR="00F02CFB">
        <w:t xml:space="preserve"> and</w:t>
      </w:r>
      <w:r w:rsidR="00D118BA">
        <w:t xml:space="preserve"> labelling</w:t>
      </w:r>
      <w:r w:rsidRPr="004C396F">
        <w:t xml:space="preserve"> </w:t>
      </w:r>
      <w:r w:rsidR="00F02CFB">
        <w:t xml:space="preserve">requirements </w:t>
      </w:r>
      <w:r w:rsidRPr="004C396F">
        <w:t xml:space="preserve">for furniture that poses a toppling risk to children, </w:t>
      </w:r>
      <w:r w:rsidR="00F02CFB">
        <w:t>including providing</w:t>
      </w:r>
      <w:r w:rsidRPr="004C396F">
        <w:t xml:space="preserve"> </w:t>
      </w:r>
      <w:r w:rsidR="00F02CFB">
        <w:t>information about</w:t>
      </w:r>
      <w:r w:rsidRPr="004C396F">
        <w:t xml:space="preserve"> toppling risks at point of sale</w:t>
      </w:r>
      <w:r w:rsidR="00B66F23">
        <w:t>.</w:t>
      </w:r>
    </w:p>
    <w:p w14:paraId="4C0CB426" w14:textId="0CF2D713" w:rsidR="006B28C2" w:rsidRDefault="00D85945" w:rsidP="00806096">
      <w:pPr>
        <w:pStyle w:val="ListParagraph"/>
        <w:numPr>
          <w:ilvl w:val="0"/>
          <w:numId w:val="41"/>
        </w:numPr>
        <w:ind w:left="1276"/>
      </w:pPr>
      <w:r w:rsidRPr="004C396F">
        <w:t xml:space="preserve">develop a public awareness campaign aimed at parents and carers of young children, </w:t>
      </w:r>
      <w:r w:rsidR="00F02CFB">
        <w:t>aiming to raise</w:t>
      </w:r>
      <w:r w:rsidRPr="004C396F">
        <w:t xml:space="preserve"> awareness of </w:t>
      </w:r>
      <w:r w:rsidR="00F02CFB">
        <w:t>toppling furniture</w:t>
      </w:r>
      <w:r w:rsidR="00F02CFB" w:rsidRPr="004C396F">
        <w:t xml:space="preserve"> </w:t>
      </w:r>
      <w:r w:rsidRPr="004C396F">
        <w:t>risks.</w:t>
      </w:r>
      <w:r w:rsidR="008B0BE5">
        <w:rPr>
          <w:rStyle w:val="FootnoteReference"/>
        </w:rPr>
        <w:footnoteReference w:id="21"/>
      </w:r>
    </w:p>
    <w:p w14:paraId="701D425D" w14:textId="05BC97D1" w:rsidR="00FF012B" w:rsidRDefault="00FF012B">
      <w:pPr>
        <w:spacing w:before="120"/>
      </w:pPr>
      <w:r>
        <w:t xml:space="preserve">Despite these </w:t>
      </w:r>
      <w:r w:rsidR="00497096">
        <w:t>measures</w:t>
      </w:r>
      <w:r w:rsidRPr="004C396F">
        <w:t>, deaths and injuries continue to occur (</w:t>
      </w:r>
      <w:r>
        <w:t>section</w:t>
      </w:r>
      <w:r w:rsidRPr="004C396F">
        <w:t xml:space="preserve"> </w:t>
      </w:r>
      <w:r w:rsidR="00770572">
        <w:t>4</w:t>
      </w:r>
      <w:r>
        <w:t xml:space="preserve">.2 </w:t>
      </w:r>
      <w:r w:rsidRPr="004C396F">
        <w:t>figure</w:t>
      </w:r>
      <w:r w:rsidR="005F2099">
        <w:t>s</w:t>
      </w:r>
      <w:r w:rsidRPr="004C396F">
        <w:t xml:space="preserve"> </w:t>
      </w:r>
      <w:r w:rsidR="005F2099">
        <w:t>3 and 4</w:t>
      </w:r>
      <w:r w:rsidRPr="004C396F">
        <w:t>)</w:t>
      </w:r>
      <w:r>
        <w:t>.</w:t>
      </w:r>
      <w:r w:rsidRPr="004C396F">
        <w:t xml:space="preserve"> </w:t>
      </w:r>
      <w:r w:rsidR="008C206C">
        <w:t xml:space="preserve">The initiatives do not appear to have increased consumer awareness of the risks of toppling furniture, which the ACCC and many stakeholders consider an important risk mitigation strategy.   </w:t>
      </w:r>
    </w:p>
    <w:p w14:paraId="6DF0D2E5" w14:textId="34C8B2C6" w:rsidR="00A2470A" w:rsidRPr="005D4886" w:rsidRDefault="00DC0B74" w:rsidP="00A2470A">
      <w:pPr>
        <w:pStyle w:val="Heading2"/>
        <w:spacing w:before="120"/>
      </w:pPr>
      <w:bookmarkStart w:id="315" w:name="_Toc126074113"/>
      <w:bookmarkEnd w:id="313"/>
      <w:r>
        <w:t>Estimated future impact</w:t>
      </w:r>
      <w:bookmarkEnd w:id="315"/>
    </w:p>
    <w:p w14:paraId="4AD78C8F" w14:textId="7E405764" w:rsidR="00A2470A" w:rsidRDefault="00A2470A" w:rsidP="00A2470A">
      <w:pPr>
        <w:spacing w:before="120"/>
      </w:pPr>
      <w:r>
        <w:t>T</w:t>
      </w:r>
      <w:r w:rsidRPr="004C396F">
        <w:t xml:space="preserve">he ACCC estimates </w:t>
      </w:r>
      <w:r>
        <w:t xml:space="preserve">if </w:t>
      </w:r>
      <w:r w:rsidRPr="004C396F">
        <w:t>no government action is taken, nearly 10,000 injuries requiring medical attention and 14 fatalities will occur over the next 10 years. The</w:t>
      </w:r>
      <w:r>
        <w:t xml:space="preserve"> combined</w:t>
      </w:r>
      <w:r>
        <w:rPr>
          <w:rFonts w:eastAsia="Times New Roman" w:cs="Arial"/>
          <w:bCs/>
          <w:color w:val="000000"/>
          <w:szCs w:val="20"/>
          <w:lang w:eastAsia="en-AU"/>
        </w:rPr>
        <w:t xml:space="preserve"> cost of deaths and injuries </w:t>
      </w:r>
      <w:r>
        <w:t>is estimated</w:t>
      </w:r>
      <w:r w:rsidR="008E05A3">
        <w:t xml:space="preserve"> to be</w:t>
      </w:r>
      <w:r>
        <w:t xml:space="preserve"> at</w:t>
      </w:r>
      <w:r w:rsidRPr="004C396F">
        <w:t xml:space="preserve"> </w:t>
      </w:r>
      <w:r w:rsidR="00F02CFB">
        <w:t xml:space="preserve">least </w:t>
      </w:r>
      <w:r w:rsidRPr="004C396F">
        <w:t>$</w:t>
      </w:r>
      <w:r w:rsidRPr="003C6136">
        <w:t>80.6 million over</w:t>
      </w:r>
      <w:r>
        <w:t xml:space="preserve"> a period of 10 years</w:t>
      </w:r>
      <w:r w:rsidR="001F70DC">
        <w:rPr>
          <w:rStyle w:val="FootnoteReference"/>
        </w:rPr>
        <w:footnoteReference w:id="22"/>
      </w:r>
      <w:r w:rsidR="00726AB1">
        <w:t>.</w:t>
      </w:r>
      <w:r w:rsidRPr="004C396F">
        <w:rPr>
          <w:rStyle w:val="FootnoteReference"/>
        </w:rPr>
        <w:t xml:space="preserve"> </w:t>
      </w:r>
    </w:p>
    <w:p w14:paraId="2C707294" w14:textId="28A674D8" w:rsidR="00896A0F" w:rsidRDefault="00A2470A" w:rsidP="00F05000">
      <w:pPr>
        <w:spacing w:before="120"/>
      </w:pPr>
      <w:r w:rsidRPr="004C396F">
        <w:t xml:space="preserve">The true </w:t>
      </w:r>
      <w:r>
        <w:t>impact</w:t>
      </w:r>
      <w:r w:rsidRPr="004C396F">
        <w:t xml:space="preserve"> of fatalities and severe injuries is </w:t>
      </w:r>
      <w:r>
        <w:t xml:space="preserve">not </w:t>
      </w:r>
      <w:r w:rsidRPr="004C396F">
        <w:t xml:space="preserve">quantifiable </w:t>
      </w:r>
      <w:r>
        <w:t xml:space="preserve">due to </w:t>
      </w:r>
      <w:r w:rsidR="00B600A8">
        <w:t>intangible</w:t>
      </w:r>
      <w:r w:rsidRPr="004C396F">
        <w:t xml:space="preserve"> costs faced by families</w:t>
      </w:r>
      <w:r w:rsidR="006E0466">
        <w:t xml:space="preserve"> and</w:t>
      </w:r>
      <w:r w:rsidRPr="004C396F">
        <w:t xml:space="preserve"> caregivers</w:t>
      </w:r>
      <w:r>
        <w:t xml:space="preserve"> </w:t>
      </w:r>
      <w:r w:rsidRPr="004C396F">
        <w:t>following a fatality</w:t>
      </w:r>
      <w:r w:rsidR="004F38BE">
        <w:t xml:space="preserve"> or serious injury</w:t>
      </w:r>
      <w:r w:rsidRPr="004C396F">
        <w:t xml:space="preserve">. The loss of a child </w:t>
      </w:r>
      <w:r w:rsidR="006E0466">
        <w:t xml:space="preserve">will </w:t>
      </w:r>
      <w:r w:rsidR="00B600A8">
        <w:t>have</w:t>
      </w:r>
      <w:r w:rsidR="006E0466">
        <w:t xml:space="preserve"> an</w:t>
      </w:r>
      <w:r w:rsidR="00B600A8">
        <w:t xml:space="preserve"> </w:t>
      </w:r>
      <w:r w:rsidR="006E0466">
        <w:t xml:space="preserve">immense </w:t>
      </w:r>
      <w:r w:rsidRPr="004C396F">
        <w:t xml:space="preserve">effect on the wellbeing of </w:t>
      </w:r>
      <w:r w:rsidR="00D77969">
        <w:t xml:space="preserve">those affected </w:t>
      </w:r>
      <w:r w:rsidRPr="004C396F">
        <w:t>in subsequent years.</w:t>
      </w:r>
      <w:r w:rsidR="006E0466" w:rsidDel="006E0466">
        <w:rPr>
          <w:rStyle w:val="FootnoteReference"/>
        </w:rPr>
        <w:t xml:space="preserve"> </w:t>
      </w:r>
    </w:p>
    <w:p w14:paraId="14DD4755" w14:textId="77777777" w:rsidR="00896A0F" w:rsidRDefault="00896A0F">
      <w:r>
        <w:br w:type="page"/>
      </w:r>
    </w:p>
    <w:p w14:paraId="4FE59975" w14:textId="7566670C" w:rsidR="00A2470A" w:rsidRPr="00F05000" w:rsidRDefault="00A2470A" w:rsidP="00F05000">
      <w:pPr>
        <w:pStyle w:val="Heading1"/>
      </w:pPr>
      <w:bookmarkStart w:id="316" w:name="_Toc116285595"/>
      <w:bookmarkStart w:id="317" w:name="_Toc116290687"/>
      <w:bookmarkStart w:id="318" w:name="_Toc116285596"/>
      <w:bookmarkStart w:id="319" w:name="_Toc116290688"/>
      <w:bookmarkStart w:id="320" w:name="_Toc126074114"/>
      <w:bookmarkEnd w:id="314"/>
      <w:bookmarkEnd w:id="316"/>
      <w:bookmarkEnd w:id="317"/>
      <w:bookmarkEnd w:id="318"/>
      <w:bookmarkEnd w:id="319"/>
      <w:r w:rsidRPr="00F05000">
        <w:t>What is the cost to the Australian economy?</w:t>
      </w:r>
      <w:bookmarkEnd w:id="320"/>
    </w:p>
    <w:p w14:paraId="363CF373" w14:textId="77777777" w:rsidR="00A2470A" w:rsidRDefault="00A2470A" w:rsidP="00A2470A">
      <w:pPr>
        <w:spacing w:before="120"/>
      </w:pPr>
      <w:r>
        <w:t xml:space="preserve">When considering the impact of regulatory proposals aimed at reducing the risk of physical harm, a concept known as </w:t>
      </w:r>
      <w:r>
        <w:rPr>
          <w:i/>
          <w:iCs/>
        </w:rPr>
        <w:t xml:space="preserve">value of statistical life </w:t>
      </w:r>
      <w:r>
        <w:t>(the VSL) may be adopted. The VSL is an estimate of the value society places on reducing the risk of dying. The ACCC acknowledges that it is not truly possible to allocate a fiscal figure to the life of a person. However, to facilitate comparison of the options, the ACCC has adopted the VSL in its calculations</w:t>
      </w:r>
    </w:p>
    <w:p w14:paraId="5B54435D" w14:textId="1AB70300" w:rsidR="00A2470A" w:rsidRPr="00331F51" w:rsidRDefault="00A2470A" w:rsidP="00A2470A">
      <w:pPr>
        <w:spacing w:before="120"/>
      </w:pPr>
      <w:r w:rsidRPr="005934A1">
        <w:t xml:space="preserve">Based on empirical evidence, the Office of </w:t>
      </w:r>
      <w:r w:rsidR="00B25136">
        <w:t>Impact Analysis</w:t>
      </w:r>
      <w:r w:rsidRPr="005934A1">
        <w:t xml:space="preserve"> estimates the </w:t>
      </w:r>
      <w:r>
        <w:t>VSL</w:t>
      </w:r>
      <w:r w:rsidRPr="005934A1">
        <w:t xml:space="preserve"> </w:t>
      </w:r>
      <w:r>
        <w:t>is</w:t>
      </w:r>
      <w:r w:rsidRPr="005934A1">
        <w:t xml:space="preserve"> $5.</w:t>
      </w:r>
      <w:r>
        <w:t>3</w:t>
      </w:r>
      <w:r w:rsidR="00726AB1">
        <w:t xml:space="preserve"> </w:t>
      </w:r>
      <w:r w:rsidRPr="005934A1">
        <w:t>m</w:t>
      </w:r>
      <w:r w:rsidR="00726AB1">
        <w:t>illion</w:t>
      </w:r>
      <w:r>
        <w:t xml:space="preserve"> in 2022 dollars.</w:t>
      </w:r>
      <w:r>
        <w:rPr>
          <w:rStyle w:val="FootnoteReference"/>
        </w:rPr>
        <w:footnoteReference w:id="23"/>
      </w:r>
      <w:r w:rsidRPr="005934A1">
        <w:t xml:space="preserve"> The VSL calculation is based on a healthy young person that may live for another 40 years. </w:t>
      </w:r>
      <w:r>
        <w:t>As the available data indicates that children are disproportionately affected by unsafe furniture, the VSL may be an underestimation of both the value society places on protecting children, and the potential future lifespan for a child (greater than 40 years).</w:t>
      </w:r>
    </w:p>
    <w:p w14:paraId="4AA936A7" w14:textId="77777777" w:rsidR="00A2470A" w:rsidRPr="004F3F77" w:rsidRDefault="00A2470A" w:rsidP="00A2470A">
      <w:pPr>
        <w:pStyle w:val="Heading2"/>
        <w:spacing w:before="120"/>
      </w:pPr>
      <w:bookmarkStart w:id="321" w:name="_Toc126074115"/>
      <w:r w:rsidRPr="004F3F77">
        <w:t>Forecast injuries</w:t>
      </w:r>
      <w:bookmarkEnd w:id="321"/>
    </w:p>
    <w:p w14:paraId="58A285C6" w14:textId="77777777" w:rsidR="00A2470A" w:rsidRDefault="00A2470A" w:rsidP="00A2470A">
      <w:pPr>
        <w:spacing w:before="120"/>
      </w:pPr>
      <w:r>
        <w:t>The cost of injuries will vary depending on their severity. However, there is no central repository of Australian data for injuries caused by toppling furniture.</w:t>
      </w:r>
    </w:p>
    <w:p w14:paraId="6DF2E65A" w14:textId="77777777" w:rsidR="00A2470A" w:rsidRPr="005934A1" w:rsidRDefault="00A2470A" w:rsidP="00A2470A">
      <w:pPr>
        <w:spacing w:before="120"/>
      </w:pPr>
      <w:r>
        <w:t>Due to the lack of available data,</w:t>
      </w:r>
      <w:r w:rsidRPr="005934A1">
        <w:t xml:space="preserve"> </w:t>
      </w:r>
      <w:r>
        <w:t>t</w:t>
      </w:r>
      <w:r w:rsidRPr="005934A1">
        <w:t xml:space="preserve">he </w:t>
      </w:r>
      <w:r>
        <w:t>below</w:t>
      </w:r>
      <w:r w:rsidRPr="005934A1">
        <w:t xml:space="preserve"> forecast is based</w:t>
      </w:r>
      <w:r>
        <w:t xml:space="preserve"> on</w:t>
      </w:r>
      <w:r w:rsidRPr="005934A1">
        <w:t xml:space="preserve"> injury data obtained from QISU</w:t>
      </w:r>
      <w:r>
        <w:t xml:space="preserve"> relating to emergency department presentations.</w:t>
      </w:r>
      <w:r w:rsidRPr="005934A1">
        <w:t xml:space="preserve"> </w:t>
      </w:r>
      <w:r>
        <w:t>It includes</w:t>
      </w:r>
      <w:r w:rsidRPr="005934A1">
        <w:t xml:space="preserve"> the following key points and assumptions:</w:t>
      </w:r>
    </w:p>
    <w:p w14:paraId="1A7BFA57" w14:textId="129647A6" w:rsidR="00A2470A" w:rsidRPr="005934A1" w:rsidRDefault="00A2470A" w:rsidP="00806096">
      <w:pPr>
        <w:pStyle w:val="ListParagraph"/>
        <w:numPr>
          <w:ilvl w:val="0"/>
          <w:numId w:val="31"/>
        </w:numPr>
      </w:pPr>
      <w:r w:rsidRPr="005934A1">
        <w:t>Queensland hospitals recorded 160 ED presentations relating to storage furniture from December 2015 to June 2020 (a period of</w:t>
      </w:r>
      <w:r w:rsidR="00FE7459">
        <w:t xml:space="preserve"> about</w:t>
      </w:r>
      <w:r w:rsidRPr="005934A1">
        <w:t xml:space="preserve"> 4 and a half years)</w:t>
      </w:r>
      <w:r w:rsidR="00877557">
        <w:t>.</w:t>
      </w:r>
    </w:p>
    <w:p w14:paraId="213FA7F6" w14:textId="373A6348" w:rsidR="00A2470A" w:rsidRPr="005934A1" w:rsidRDefault="00877557" w:rsidP="00806096">
      <w:pPr>
        <w:pStyle w:val="ListParagraph"/>
        <w:numPr>
          <w:ilvl w:val="0"/>
          <w:numId w:val="31"/>
        </w:numPr>
      </w:pPr>
      <w:r>
        <w:t>T</w:t>
      </w:r>
      <w:r w:rsidR="00A2470A" w:rsidRPr="005934A1">
        <w:t>his data is from participating Queensland hospitals, which represent 20% of the hospitals in Queensland.</w:t>
      </w:r>
      <w:r w:rsidR="00A2470A" w:rsidRPr="005934A1">
        <w:rPr>
          <w:rStyle w:val="FootnoteReference"/>
        </w:rPr>
        <w:footnoteReference w:id="24"/>
      </w:r>
      <w:r w:rsidR="00A2470A" w:rsidRPr="005934A1">
        <w:t xml:space="preserve"> It was used as an indicative representation of ED presentations nationally</w:t>
      </w:r>
      <w:r>
        <w:t>.</w:t>
      </w:r>
      <w:r w:rsidR="00A2470A" w:rsidRPr="005934A1">
        <w:rPr>
          <w:rStyle w:val="FootnoteReference"/>
        </w:rPr>
        <w:footnoteReference w:id="25"/>
      </w:r>
    </w:p>
    <w:p w14:paraId="0A5AB911" w14:textId="5BAE9F86" w:rsidR="00A2470A" w:rsidRPr="005934A1" w:rsidRDefault="00A2470A" w:rsidP="00806096">
      <w:pPr>
        <w:pStyle w:val="ListParagraph"/>
        <w:numPr>
          <w:ilvl w:val="0"/>
          <w:numId w:val="31"/>
        </w:numPr>
      </w:pPr>
      <w:r w:rsidRPr="005934A1">
        <w:t>Queensland represents a fifth of the total population in Australia.</w:t>
      </w:r>
      <w:r w:rsidRPr="005934A1">
        <w:rPr>
          <w:rStyle w:val="FootnoteReference"/>
        </w:rPr>
        <w:footnoteReference w:id="26"/>
      </w:r>
      <w:r w:rsidRPr="005934A1">
        <w:t xml:space="preserve"> Based on those calculations, the projected total number of ED presentations relating to toppling furniture nationally is estimated at 921 for 2022 based on a projected population of 26</w:t>
      </w:r>
      <w:r w:rsidR="00441BF0">
        <w:t>.7 million</w:t>
      </w:r>
      <w:r w:rsidRPr="005934A1">
        <w:t>, increasing to 1044 for 2031 (based on projected population of 30</w:t>
      </w:r>
      <w:r w:rsidR="00441BF0">
        <w:t>.3 million)</w:t>
      </w:r>
      <w:r w:rsidRPr="005934A1">
        <w:t>.</w:t>
      </w:r>
      <w:r w:rsidRPr="005934A1">
        <w:rPr>
          <w:rStyle w:val="FootnoteReference"/>
        </w:rPr>
        <w:footnoteReference w:id="27"/>
      </w:r>
      <w:r w:rsidRPr="005934A1">
        <w:t xml:space="preserve"> </w:t>
      </w:r>
    </w:p>
    <w:p w14:paraId="557A7254" w14:textId="17318FAD" w:rsidR="00A2470A" w:rsidRPr="00646799" w:rsidRDefault="00A2470A" w:rsidP="00A2470A">
      <w:pPr>
        <w:spacing w:before="120"/>
      </w:pPr>
      <w:r w:rsidRPr="00646799">
        <w:t xml:space="preserve">For the 2018–19 financial year, the National Hospital Cost Data Collection estimated the cost per ED presentation at $732. The ACCC used this figure to estimate the likely yearly total cost of ED presentations relating to toppling furniture to be in the range of $673,951 in 2022 and increasing to $764,409 in 2031.  </w:t>
      </w:r>
    </w:p>
    <w:p w14:paraId="5580E059" w14:textId="6391E06B" w:rsidR="00A2470A" w:rsidRPr="005D4886" w:rsidRDefault="00A2470A" w:rsidP="00A2470A">
      <w:pPr>
        <w:pStyle w:val="TableHeading"/>
        <w:spacing w:before="120" w:after="120"/>
      </w:pPr>
      <w:r w:rsidRPr="005D4886">
        <w:t xml:space="preserve">Table </w:t>
      </w:r>
      <w:r>
        <w:t>2</w:t>
      </w:r>
      <w:r w:rsidRPr="005D4886">
        <w:t>: Forecasting injuries and cost of ED presentation in Australia</w:t>
      </w:r>
    </w:p>
    <w:tbl>
      <w:tblPr>
        <w:tblW w:w="8921" w:type="dxa"/>
        <w:tblLook w:val="04A0" w:firstRow="1" w:lastRow="0" w:firstColumn="1" w:lastColumn="0" w:noHBand="0" w:noVBand="1"/>
      </w:tblPr>
      <w:tblGrid>
        <w:gridCol w:w="820"/>
        <w:gridCol w:w="1388"/>
        <w:gridCol w:w="1659"/>
        <w:gridCol w:w="1652"/>
        <w:gridCol w:w="3402"/>
      </w:tblGrid>
      <w:tr w:rsidR="00A2470A" w:rsidRPr="005934A1" w14:paraId="2298375D" w14:textId="77777777" w:rsidTr="00A2470A">
        <w:trPr>
          <w:trHeight w:val="515"/>
        </w:trPr>
        <w:tc>
          <w:tcPr>
            <w:tcW w:w="820" w:type="dxa"/>
            <w:tcBorders>
              <w:top w:val="single" w:sz="8" w:space="0" w:color="auto"/>
              <w:left w:val="single" w:sz="8" w:space="0" w:color="auto"/>
              <w:bottom w:val="single" w:sz="8" w:space="0" w:color="auto"/>
              <w:right w:val="nil"/>
            </w:tcBorders>
            <w:shd w:val="clear" w:color="auto" w:fill="auto"/>
            <w:noWrap/>
            <w:vAlign w:val="center"/>
            <w:hideMark/>
          </w:tcPr>
          <w:p w14:paraId="4C2B9C62" w14:textId="77777777" w:rsidR="00A2470A" w:rsidRPr="005934A1" w:rsidRDefault="00A2470A" w:rsidP="00A2470A">
            <w:pPr>
              <w:spacing w:before="120"/>
              <w:jc w:val="center"/>
              <w:rPr>
                <w:rFonts w:eastAsia="Times New Roman" w:cs="Arial"/>
                <w:b/>
                <w:bCs/>
                <w:color w:val="000000"/>
                <w:sz w:val="20"/>
                <w:szCs w:val="20"/>
                <w:lang w:eastAsia="en-AU"/>
              </w:rPr>
            </w:pPr>
            <w:r w:rsidRPr="005934A1">
              <w:rPr>
                <w:rFonts w:eastAsia="Times New Roman" w:cs="Arial"/>
                <w:b/>
                <w:bCs/>
                <w:color w:val="000000"/>
                <w:sz w:val="20"/>
                <w:szCs w:val="20"/>
                <w:lang w:eastAsia="en-AU"/>
              </w:rPr>
              <w:t>Year</w:t>
            </w:r>
          </w:p>
        </w:tc>
        <w:tc>
          <w:tcPr>
            <w:tcW w:w="13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1B4494" w14:textId="77777777" w:rsidR="00A2470A" w:rsidRPr="005934A1" w:rsidRDefault="00A2470A" w:rsidP="00A2470A">
            <w:pPr>
              <w:spacing w:before="120"/>
              <w:jc w:val="center"/>
              <w:rPr>
                <w:rFonts w:eastAsia="Times New Roman" w:cs="Arial"/>
                <w:b/>
                <w:bCs/>
                <w:color w:val="000000"/>
                <w:sz w:val="20"/>
                <w:szCs w:val="20"/>
                <w:lang w:eastAsia="en-AU"/>
              </w:rPr>
            </w:pPr>
            <w:r w:rsidRPr="005934A1">
              <w:rPr>
                <w:rFonts w:eastAsia="Times New Roman" w:cs="Arial"/>
                <w:b/>
                <w:bCs/>
                <w:color w:val="000000"/>
                <w:sz w:val="20"/>
                <w:szCs w:val="20"/>
                <w:lang w:eastAsia="en-AU"/>
              </w:rPr>
              <w:t>Projected Population</w:t>
            </w:r>
          </w:p>
        </w:tc>
        <w:tc>
          <w:tcPr>
            <w:tcW w:w="1659" w:type="dxa"/>
            <w:tcBorders>
              <w:top w:val="single" w:sz="8" w:space="0" w:color="auto"/>
              <w:left w:val="nil"/>
              <w:bottom w:val="single" w:sz="8" w:space="0" w:color="auto"/>
              <w:right w:val="single" w:sz="4" w:space="0" w:color="auto"/>
            </w:tcBorders>
            <w:shd w:val="clear" w:color="auto" w:fill="auto"/>
            <w:vAlign w:val="center"/>
            <w:hideMark/>
          </w:tcPr>
          <w:p w14:paraId="7122A799" w14:textId="00C91ED9" w:rsidR="00A2470A" w:rsidRPr="005934A1" w:rsidRDefault="00A2470A" w:rsidP="00A2470A">
            <w:pPr>
              <w:spacing w:before="120"/>
              <w:jc w:val="center"/>
              <w:rPr>
                <w:rFonts w:eastAsia="Times New Roman" w:cs="Arial"/>
                <w:b/>
                <w:bCs/>
                <w:color w:val="000000"/>
                <w:sz w:val="20"/>
                <w:szCs w:val="20"/>
                <w:lang w:eastAsia="en-AU"/>
              </w:rPr>
            </w:pPr>
            <w:r w:rsidRPr="005934A1">
              <w:rPr>
                <w:rFonts w:eastAsia="Times New Roman" w:cs="Arial"/>
                <w:b/>
                <w:bCs/>
                <w:color w:val="000000"/>
                <w:sz w:val="20"/>
                <w:szCs w:val="20"/>
                <w:lang w:eastAsia="en-AU"/>
              </w:rPr>
              <w:t>Injuries per 100</w:t>
            </w:r>
            <w:r w:rsidR="0060104F">
              <w:rPr>
                <w:rFonts w:eastAsia="Times New Roman" w:cs="Arial"/>
                <w:b/>
                <w:bCs/>
                <w:color w:val="000000"/>
                <w:sz w:val="20"/>
                <w:szCs w:val="20"/>
                <w:lang w:eastAsia="en-AU"/>
              </w:rPr>
              <w:t>,</w:t>
            </w:r>
            <w:r w:rsidRPr="005934A1">
              <w:rPr>
                <w:rFonts w:eastAsia="Times New Roman" w:cs="Arial"/>
                <w:b/>
                <w:bCs/>
                <w:color w:val="000000"/>
                <w:sz w:val="20"/>
                <w:szCs w:val="20"/>
                <w:lang w:eastAsia="en-AU"/>
              </w:rPr>
              <w:t>000 population</w:t>
            </w:r>
          </w:p>
        </w:tc>
        <w:tc>
          <w:tcPr>
            <w:tcW w:w="1652" w:type="dxa"/>
            <w:tcBorders>
              <w:top w:val="single" w:sz="8" w:space="0" w:color="auto"/>
              <w:left w:val="nil"/>
              <w:bottom w:val="single" w:sz="8" w:space="0" w:color="auto"/>
              <w:right w:val="single" w:sz="4" w:space="0" w:color="auto"/>
            </w:tcBorders>
            <w:shd w:val="clear" w:color="auto" w:fill="auto"/>
            <w:noWrap/>
            <w:vAlign w:val="center"/>
            <w:hideMark/>
          </w:tcPr>
          <w:p w14:paraId="59847D82" w14:textId="77777777" w:rsidR="00A2470A" w:rsidRPr="005934A1" w:rsidRDefault="00A2470A" w:rsidP="00A2470A">
            <w:pPr>
              <w:spacing w:before="120"/>
              <w:jc w:val="center"/>
              <w:rPr>
                <w:rFonts w:eastAsia="Times New Roman" w:cs="Arial"/>
                <w:b/>
                <w:bCs/>
                <w:color w:val="000000"/>
                <w:sz w:val="20"/>
                <w:szCs w:val="20"/>
                <w:lang w:eastAsia="en-AU"/>
              </w:rPr>
            </w:pPr>
            <w:r w:rsidRPr="005934A1">
              <w:rPr>
                <w:rFonts w:eastAsia="Times New Roman" w:cs="Arial"/>
                <w:b/>
                <w:bCs/>
                <w:color w:val="000000"/>
                <w:sz w:val="20"/>
                <w:szCs w:val="20"/>
                <w:lang w:eastAsia="en-AU"/>
              </w:rPr>
              <w:t>Forecast Injuries</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14:paraId="4ACFD7D7" w14:textId="77777777" w:rsidR="00A2470A" w:rsidRPr="005934A1" w:rsidRDefault="00A2470A" w:rsidP="00A2470A">
            <w:pPr>
              <w:spacing w:before="120"/>
              <w:jc w:val="center"/>
              <w:rPr>
                <w:rFonts w:eastAsia="Times New Roman" w:cs="Arial"/>
                <w:b/>
                <w:bCs/>
                <w:color w:val="000000"/>
                <w:sz w:val="20"/>
                <w:szCs w:val="20"/>
                <w:lang w:eastAsia="en-AU"/>
              </w:rPr>
            </w:pPr>
            <w:r w:rsidRPr="005934A1">
              <w:rPr>
                <w:rFonts w:eastAsia="Times New Roman" w:cs="Arial"/>
                <w:b/>
                <w:bCs/>
                <w:color w:val="000000"/>
                <w:sz w:val="20"/>
                <w:szCs w:val="20"/>
                <w:lang w:eastAsia="en-AU"/>
              </w:rPr>
              <w:t xml:space="preserve">Estimated average total cost of ED presentation </w:t>
            </w:r>
          </w:p>
        </w:tc>
      </w:tr>
      <w:tr w:rsidR="00A2470A" w:rsidRPr="005934A1" w14:paraId="2578CB64" w14:textId="77777777" w:rsidTr="00A2470A">
        <w:trPr>
          <w:trHeight w:val="174"/>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44909F9C"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2022</w:t>
            </w:r>
          </w:p>
        </w:tc>
        <w:tc>
          <w:tcPr>
            <w:tcW w:w="1388" w:type="dxa"/>
            <w:tcBorders>
              <w:top w:val="nil"/>
              <w:left w:val="nil"/>
              <w:bottom w:val="single" w:sz="4" w:space="0" w:color="auto"/>
              <w:right w:val="single" w:sz="4" w:space="0" w:color="auto"/>
            </w:tcBorders>
            <w:shd w:val="clear" w:color="auto" w:fill="auto"/>
            <w:noWrap/>
            <w:vAlign w:val="bottom"/>
            <w:hideMark/>
          </w:tcPr>
          <w:p w14:paraId="7B47FFAE"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26,727,025</w:t>
            </w:r>
          </w:p>
        </w:tc>
        <w:tc>
          <w:tcPr>
            <w:tcW w:w="1659" w:type="dxa"/>
            <w:tcBorders>
              <w:top w:val="nil"/>
              <w:left w:val="nil"/>
              <w:bottom w:val="single" w:sz="4" w:space="0" w:color="auto"/>
              <w:right w:val="single" w:sz="4" w:space="0" w:color="auto"/>
            </w:tcBorders>
            <w:shd w:val="clear" w:color="auto" w:fill="auto"/>
            <w:noWrap/>
            <w:vAlign w:val="center"/>
            <w:hideMark/>
          </w:tcPr>
          <w:p w14:paraId="1428B884"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3.444820</w:t>
            </w:r>
          </w:p>
        </w:tc>
        <w:tc>
          <w:tcPr>
            <w:tcW w:w="1652" w:type="dxa"/>
            <w:tcBorders>
              <w:top w:val="nil"/>
              <w:left w:val="nil"/>
              <w:bottom w:val="single" w:sz="4" w:space="0" w:color="auto"/>
              <w:right w:val="single" w:sz="4" w:space="0" w:color="auto"/>
            </w:tcBorders>
            <w:shd w:val="clear" w:color="auto" w:fill="auto"/>
            <w:noWrap/>
            <w:vAlign w:val="center"/>
            <w:hideMark/>
          </w:tcPr>
          <w:p w14:paraId="793B4EA1"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921</w:t>
            </w:r>
          </w:p>
        </w:tc>
        <w:tc>
          <w:tcPr>
            <w:tcW w:w="3402" w:type="dxa"/>
            <w:tcBorders>
              <w:top w:val="nil"/>
              <w:left w:val="nil"/>
              <w:bottom w:val="single" w:sz="4" w:space="0" w:color="auto"/>
              <w:right w:val="single" w:sz="8" w:space="0" w:color="auto"/>
            </w:tcBorders>
            <w:shd w:val="clear" w:color="auto" w:fill="auto"/>
            <w:noWrap/>
            <w:vAlign w:val="center"/>
            <w:hideMark/>
          </w:tcPr>
          <w:p w14:paraId="73447CE8"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                               673,951</w:t>
            </w:r>
          </w:p>
        </w:tc>
      </w:tr>
      <w:tr w:rsidR="00A2470A" w:rsidRPr="005934A1" w14:paraId="35535CC3" w14:textId="77777777" w:rsidTr="00A2470A">
        <w:trPr>
          <w:trHeight w:val="174"/>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261F7F97"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2023</w:t>
            </w:r>
          </w:p>
        </w:tc>
        <w:tc>
          <w:tcPr>
            <w:tcW w:w="1388" w:type="dxa"/>
            <w:tcBorders>
              <w:top w:val="nil"/>
              <w:left w:val="nil"/>
              <w:bottom w:val="single" w:sz="4" w:space="0" w:color="auto"/>
              <w:right w:val="single" w:sz="4" w:space="0" w:color="auto"/>
            </w:tcBorders>
            <w:shd w:val="clear" w:color="auto" w:fill="auto"/>
            <w:noWrap/>
            <w:vAlign w:val="bottom"/>
            <w:hideMark/>
          </w:tcPr>
          <w:p w14:paraId="216E898A"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27,147,199</w:t>
            </w:r>
          </w:p>
        </w:tc>
        <w:tc>
          <w:tcPr>
            <w:tcW w:w="1659" w:type="dxa"/>
            <w:tcBorders>
              <w:top w:val="nil"/>
              <w:left w:val="nil"/>
              <w:bottom w:val="single" w:sz="4" w:space="0" w:color="auto"/>
              <w:right w:val="single" w:sz="4" w:space="0" w:color="auto"/>
            </w:tcBorders>
            <w:shd w:val="clear" w:color="auto" w:fill="auto"/>
            <w:noWrap/>
            <w:vAlign w:val="center"/>
            <w:hideMark/>
          </w:tcPr>
          <w:p w14:paraId="289F4A20"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3.444820</w:t>
            </w:r>
          </w:p>
        </w:tc>
        <w:tc>
          <w:tcPr>
            <w:tcW w:w="1652" w:type="dxa"/>
            <w:tcBorders>
              <w:top w:val="nil"/>
              <w:left w:val="nil"/>
              <w:bottom w:val="single" w:sz="4" w:space="0" w:color="auto"/>
              <w:right w:val="single" w:sz="4" w:space="0" w:color="auto"/>
            </w:tcBorders>
            <w:shd w:val="clear" w:color="auto" w:fill="auto"/>
            <w:noWrap/>
            <w:vAlign w:val="center"/>
            <w:hideMark/>
          </w:tcPr>
          <w:p w14:paraId="01EB830C"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935</w:t>
            </w:r>
          </w:p>
        </w:tc>
        <w:tc>
          <w:tcPr>
            <w:tcW w:w="3402" w:type="dxa"/>
            <w:tcBorders>
              <w:top w:val="nil"/>
              <w:left w:val="nil"/>
              <w:bottom w:val="single" w:sz="4" w:space="0" w:color="auto"/>
              <w:right w:val="single" w:sz="8" w:space="0" w:color="auto"/>
            </w:tcBorders>
            <w:shd w:val="clear" w:color="auto" w:fill="auto"/>
            <w:noWrap/>
            <w:vAlign w:val="center"/>
            <w:hideMark/>
          </w:tcPr>
          <w:p w14:paraId="430F1988"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                               684,546</w:t>
            </w:r>
          </w:p>
        </w:tc>
      </w:tr>
      <w:tr w:rsidR="00A2470A" w:rsidRPr="005934A1" w14:paraId="14128458" w14:textId="77777777" w:rsidTr="00A2470A">
        <w:trPr>
          <w:trHeight w:val="174"/>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5A1A73F6"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2024</w:t>
            </w:r>
          </w:p>
        </w:tc>
        <w:tc>
          <w:tcPr>
            <w:tcW w:w="1388" w:type="dxa"/>
            <w:tcBorders>
              <w:top w:val="nil"/>
              <w:left w:val="nil"/>
              <w:bottom w:val="single" w:sz="4" w:space="0" w:color="auto"/>
              <w:right w:val="single" w:sz="4" w:space="0" w:color="auto"/>
            </w:tcBorders>
            <w:shd w:val="clear" w:color="auto" w:fill="auto"/>
            <w:noWrap/>
            <w:vAlign w:val="bottom"/>
            <w:hideMark/>
          </w:tcPr>
          <w:p w14:paraId="43DF9D60"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27,562,195</w:t>
            </w:r>
          </w:p>
        </w:tc>
        <w:tc>
          <w:tcPr>
            <w:tcW w:w="1659" w:type="dxa"/>
            <w:tcBorders>
              <w:top w:val="nil"/>
              <w:left w:val="nil"/>
              <w:bottom w:val="single" w:sz="4" w:space="0" w:color="auto"/>
              <w:right w:val="single" w:sz="4" w:space="0" w:color="auto"/>
            </w:tcBorders>
            <w:shd w:val="clear" w:color="auto" w:fill="auto"/>
            <w:noWrap/>
            <w:vAlign w:val="center"/>
            <w:hideMark/>
          </w:tcPr>
          <w:p w14:paraId="74A55320"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3.444820</w:t>
            </w:r>
          </w:p>
        </w:tc>
        <w:tc>
          <w:tcPr>
            <w:tcW w:w="1652" w:type="dxa"/>
            <w:tcBorders>
              <w:top w:val="nil"/>
              <w:left w:val="nil"/>
              <w:bottom w:val="single" w:sz="4" w:space="0" w:color="auto"/>
              <w:right w:val="single" w:sz="4" w:space="0" w:color="auto"/>
            </w:tcBorders>
            <w:shd w:val="clear" w:color="auto" w:fill="auto"/>
            <w:noWrap/>
            <w:vAlign w:val="center"/>
            <w:hideMark/>
          </w:tcPr>
          <w:p w14:paraId="0572D802"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949</w:t>
            </w:r>
          </w:p>
        </w:tc>
        <w:tc>
          <w:tcPr>
            <w:tcW w:w="3402" w:type="dxa"/>
            <w:tcBorders>
              <w:top w:val="nil"/>
              <w:left w:val="nil"/>
              <w:bottom w:val="single" w:sz="4" w:space="0" w:color="auto"/>
              <w:right w:val="single" w:sz="8" w:space="0" w:color="auto"/>
            </w:tcBorders>
            <w:shd w:val="clear" w:color="auto" w:fill="auto"/>
            <w:noWrap/>
            <w:vAlign w:val="center"/>
            <w:hideMark/>
          </w:tcPr>
          <w:p w14:paraId="21D56F10"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                               695,011</w:t>
            </w:r>
          </w:p>
        </w:tc>
      </w:tr>
      <w:tr w:rsidR="00A2470A" w:rsidRPr="005934A1" w14:paraId="2912AD0E" w14:textId="77777777" w:rsidTr="00A2470A">
        <w:trPr>
          <w:trHeight w:val="174"/>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256BDB0B"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2025</w:t>
            </w:r>
          </w:p>
        </w:tc>
        <w:tc>
          <w:tcPr>
            <w:tcW w:w="1388" w:type="dxa"/>
            <w:tcBorders>
              <w:top w:val="nil"/>
              <w:left w:val="nil"/>
              <w:bottom w:val="single" w:sz="4" w:space="0" w:color="auto"/>
              <w:right w:val="single" w:sz="4" w:space="0" w:color="auto"/>
            </w:tcBorders>
            <w:shd w:val="clear" w:color="auto" w:fill="auto"/>
            <w:noWrap/>
            <w:vAlign w:val="bottom"/>
            <w:hideMark/>
          </w:tcPr>
          <w:p w14:paraId="35BEFBE1"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27,970,435</w:t>
            </w:r>
          </w:p>
        </w:tc>
        <w:tc>
          <w:tcPr>
            <w:tcW w:w="1659" w:type="dxa"/>
            <w:tcBorders>
              <w:top w:val="nil"/>
              <w:left w:val="nil"/>
              <w:bottom w:val="single" w:sz="4" w:space="0" w:color="auto"/>
              <w:right w:val="single" w:sz="4" w:space="0" w:color="auto"/>
            </w:tcBorders>
            <w:shd w:val="clear" w:color="auto" w:fill="auto"/>
            <w:noWrap/>
            <w:vAlign w:val="center"/>
            <w:hideMark/>
          </w:tcPr>
          <w:p w14:paraId="7AD1BA21"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3.444820</w:t>
            </w:r>
          </w:p>
        </w:tc>
        <w:tc>
          <w:tcPr>
            <w:tcW w:w="1652" w:type="dxa"/>
            <w:tcBorders>
              <w:top w:val="nil"/>
              <w:left w:val="nil"/>
              <w:bottom w:val="single" w:sz="4" w:space="0" w:color="auto"/>
              <w:right w:val="single" w:sz="4" w:space="0" w:color="auto"/>
            </w:tcBorders>
            <w:shd w:val="clear" w:color="auto" w:fill="auto"/>
            <w:noWrap/>
            <w:vAlign w:val="center"/>
            <w:hideMark/>
          </w:tcPr>
          <w:p w14:paraId="5ADE8A8F"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964</w:t>
            </w:r>
          </w:p>
        </w:tc>
        <w:tc>
          <w:tcPr>
            <w:tcW w:w="3402" w:type="dxa"/>
            <w:tcBorders>
              <w:top w:val="nil"/>
              <w:left w:val="nil"/>
              <w:bottom w:val="single" w:sz="4" w:space="0" w:color="auto"/>
              <w:right w:val="single" w:sz="8" w:space="0" w:color="auto"/>
            </w:tcBorders>
            <w:shd w:val="clear" w:color="auto" w:fill="auto"/>
            <w:noWrap/>
            <w:vAlign w:val="center"/>
            <w:hideMark/>
          </w:tcPr>
          <w:p w14:paraId="2676727B"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                               705,305</w:t>
            </w:r>
          </w:p>
        </w:tc>
      </w:tr>
      <w:tr w:rsidR="00A2470A" w:rsidRPr="005934A1" w14:paraId="4E668C21" w14:textId="77777777" w:rsidTr="00A2470A">
        <w:trPr>
          <w:trHeight w:val="174"/>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4C85B9CB"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2026</w:t>
            </w:r>
          </w:p>
        </w:tc>
        <w:tc>
          <w:tcPr>
            <w:tcW w:w="1388" w:type="dxa"/>
            <w:tcBorders>
              <w:top w:val="nil"/>
              <w:left w:val="nil"/>
              <w:bottom w:val="single" w:sz="4" w:space="0" w:color="auto"/>
              <w:right w:val="single" w:sz="4" w:space="0" w:color="auto"/>
            </w:tcBorders>
            <w:shd w:val="clear" w:color="auto" w:fill="auto"/>
            <w:noWrap/>
            <w:vAlign w:val="bottom"/>
            <w:hideMark/>
          </w:tcPr>
          <w:p w14:paraId="41357411"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28,372,315</w:t>
            </w:r>
          </w:p>
        </w:tc>
        <w:tc>
          <w:tcPr>
            <w:tcW w:w="1659" w:type="dxa"/>
            <w:tcBorders>
              <w:top w:val="nil"/>
              <w:left w:val="nil"/>
              <w:bottom w:val="single" w:sz="4" w:space="0" w:color="auto"/>
              <w:right w:val="single" w:sz="4" w:space="0" w:color="auto"/>
            </w:tcBorders>
            <w:shd w:val="clear" w:color="auto" w:fill="auto"/>
            <w:noWrap/>
            <w:vAlign w:val="center"/>
            <w:hideMark/>
          </w:tcPr>
          <w:p w14:paraId="3AB2896B"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3.444820</w:t>
            </w:r>
          </w:p>
        </w:tc>
        <w:tc>
          <w:tcPr>
            <w:tcW w:w="1652" w:type="dxa"/>
            <w:tcBorders>
              <w:top w:val="nil"/>
              <w:left w:val="nil"/>
              <w:bottom w:val="single" w:sz="4" w:space="0" w:color="auto"/>
              <w:right w:val="single" w:sz="4" w:space="0" w:color="auto"/>
            </w:tcBorders>
            <w:shd w:val="clear" w:color="auto" w:fill="auto"/>
            <w:noWrap/>
            <w:vAlign w:val="center"/>
            <w:hideMark/>
          </w:tcPr>
          <w:p w14:paraId="6E4E8E28"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977</w:t>
            </w:r>
          </w:p>
        </w:tc>
        <w:tc>
          <w:tcPr>
            <w:tcW w:w="3402" w:type="dxa"/>
            <w:tcBorders>
              <w:top w:val="nil"/>
              <w:left w:val="nil"/>
              <w:bottom w:val="single" w:sz="4" w:space="0" w:color="auto"/>
              <w:right w:val="single" w:sz="8" w:space="0" w:color="auto"/>
            </w:tcBorders>
            <w:shd w:val="clear" w:color="auto" w:fill="auto"/>
            <w:noWrap/>
            <w:vAlign w:val="center"/>
            <w:hideMark/>
          </w:tcPr>
          <w:p w14:paraId="56B08EE3"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                               715,439</w:t>
            </w:r>
          </w:p>
        </w:tc>
      </w:tr>
      <w:tr w:rsidR="00A2470A" w:rsidRPr="005934A1" w14:paraId="0AA074FC" w14:textId="77777777" w:rsidTr="00A2470A">
        <w:trPr>
          <w:trHeight w:val="174"/>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4F1ABCE2"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2027</w:t>
            </w:r>
          </w:p>
        </w:tc>
        <w:tc>
          <w:tcPr>
            <w:tcW w:w="1388" w:type="dxa"/>
            <w:tcBorders>
              <w:top w:val="nil"/>
              <w:left w:val="nil"/>
              <w:bottom w:val="single" w:sz="4" w:space="0" w:color="auto"/>
              <w:right w:val="single" w:sz="4" w:space="0" w:color="auto"/>
            </w:tcBorders>
            <w:shd w:val="clear" w:color="auto" w:fill="auto"/>
            <w:noWrap/>
            <w:vAlign w:val="bottom"/>
            <w:hideMark/>
          </w:tcPr>
          <w:p w14:paraId="4FCCFD59"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28,765,734</w:t>
            </w:r>
          </w:p>
        </w:tc>
        <w:tc>
          <w:tcPr>
            <w:tcW w:w="1659" w:type="dxa"/>
            <w:tcBorders>
              <w:top w:val="nil"/>
              <w:left w:val="nil"/>
              <w:bottom w:val="single" w:sz="4" w:space="0" w:color="auto"/>
              <w:right w:val="single" w:sz="4" w:space="0" w:color="auto"/>
            </w:tcBorders>
            <w:shd w:val="clear" w:color="auto" w:fill="auto"/>
            <w:noWrap/>
            <w:vAlign w:val="center"/>
            <w:hideMark/>
          </w:tcPr>
          <w:p w14:paraId="0620119B"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3.444820</w:t>
            </w:r>
          </w:p>
        </w:tc>
        <w:tc>
          <w:tcPr>
            <w:tcW w:w="1652" w:type="dxa"/>
            <w:tcBorders>
              <w:top w:val="nil"/>
              <w:left w:val="nil"/>
              <w:bottom w:val="single" w:sz="4" w:space="0" w:color="auto"/>
              <w:right w:val="single" w:sz="4" w:space="0" w:color="auto"/>
            </w:tcBorders>
            <w:shd w:val="clear" w:color="auto" w:fill="auto"/>
            <w:noWrap/>
            <w:vAlign w:val="center"/>
            <w:hideMark/>
          </w:tcPr>
          <w:p w14:paraId="17502BB9"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991</w:t>
            </w:r>
          </w:p>
        </w:tc>
        <w:tc>
          <w:tcPr>
            <w:tcW w:w="3402" w:type="dxa"/>
            <w:tcBorders>
              <w:top w:val="nil"/>
              <w:left w:val="nil"/>
              <w:bottom w:val="single" w:sz="4" w:space="0" w:color="auto"/>
              <w:right w:val="single" w:sz="8" w:space="0" w:color="auto"/>
            </w:tcBorders>
            <w:shd w:val="clear" w:color="auto" w:fill="auto"/>
            <w:noWrap/>
            <w:vAlign w:val="center"/>
            <w:hideMark/>
          </w:tcPr>
          <w:p w14:paraId="79AA0576"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                               725,359</w:t>
            </w:r>
          </w:p>
        </w:tc>
      </w:tr>
      <w:tr w:rsidR="00A2470A" w:rsidRPr="005934A1" w14:paraId="1F4F560D" w14:textId="77777777" w:rsidTr="00A2470A">
        <w:trPr>
          <w:trHeight w:val="174"/>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48B4976D"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2028</w:t>
            </w:r>
          </w:p>
        </w:tc>
        <w:tc>
          <w:tcPr>
            <w:tcW w:w="1388" w:type="dxa"/>
            <w:tcBorders>
              <w:top w:val="nil"/>
              <w:left w:val="nil"/>
              <w:bottom w:val="single" w:sz="4" w:space="0" w:color="auto"/>
              <w:right w:val="single" w:sz="4" w:space="0" w:color="auto"/>
            </w:tcBorders>
            <w:shd w:val="clear" w:color="auto" w:fill="auto"/>
            <w:noWrap/>
            <w:vAlign w:val="bottom"/>
            <w:hideMark/>
          </w:tcPr>
          <w:p w14:paraId="53220D0F"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29,157,085</w:t>
            </w:r>
          </w:p>
        </w:tc>
        <w:tc>
          <w:tcPr>
            <w:tcW w:w="1659" w:type="dxa"/>
            <w:tcBorders>
              <w:top w:val="nil"/>
              <w:left w:val="nil"/>
              <w:bottom w:val="single" w:sz="4" w:space="0" w:color="auto"/>
              <w:right w:val="single" w:sz="4" w:space="0" w:color="auto"/>
            </w:tcBorders>
            <w:shd w:val="clear" w:color="auto" w:fill="auto"/>
            <w:noWrap/>
            <w:vAlign w:val="center"/>
            <w:hideMark/>
          </w:tcPr>
          <w:p w14:paraId="5C5BD7D5"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3.444820</w:t>
            </w:r>
          </w:p>
        </w:tc>
        <w:tc>
          <w:tcPr>
            <w:tcW w:w="1652" w:type="dxa"/>
            <w:tcBorders>
              <w:top w:val="nil"/>
              <w:left w:val="nil"/>
              <w:bottom w:val="single" w:sz="4" w:space="0" w:color="auto"/>
              <w:right w:val="single" w:sz="4" w:space="0" w:color="auto"/>
            </w:tcBorders>
            <w:shd w:val="clear" w:color="auto" w:fill="auto"/>
            <w:noWrap/>
            <w:vAlign w:val="center"/>
            <w:hideMark/>
          </w:tcPr>
          <w:p w14:paraId="4A73E8FC"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1,004</w:t>
            </w:r>
          </w:p>
        </w:tc>
        <w:tc>
          <w:tcPr>
            <w:tcW w:w="3402" w:type="dxa"/>
            <w:tcBorders>
              <w:top w:val="nil"/>
              <w:left w:val="nil"/>
              <w:bottom w:val="single" w:sz="4" w:space="0" w:color="auto"/>
              <w:right w:val="single" w:sz="8" w:space="0" w:color="auto"/>
            </w:tcBorders>
            <w:shd w:val="clear" w:color="auto" w:fill="auto"/>
            <w:noWrap/>
            <w:vAlign w:val="center"/>
            <w:hideMark/>
          </w:tcPr>
          <w:p w14:paraId="5BBDE6E2"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                               735,227</w:t>
            </w:r>
          </w:p>
        </w:tc>
      </w:tr>
      <w:tr w:rsidR="00A2470A" w:rsidRPr="005934A1" w14:paraId="524D7807" w14:textId="77777777" w:rsidTr="00A2470A">
        <w:trPr>
          <w:trHeight w:val="174"/>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41A5046B"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2029</w:t>
            </w:r>
          </w:p>
        </w:tc>
        <w:tc>
          <w:tcPr>
            <w:tcW w:w="1388" w:type="dxa"/>
            <w:tcBorders>
              <w:top w:val="nil"/>
              <w:left w:val="nil"/>
              <w:bottom w:val="single" w:sz="4" w:space="0" w:color="auto"/>
              <w:right w:val="single" w:sz="4" w:space="0" w:color="auto"/>
            </w:tcBorders>
            <w:shd w:val="clear" w:color="auto" w:fill="auto"/>
            <w:noWrap/>
            <w:vAlign w:val="bottom"/>
            <w:hideMark/>
          </w:tcPr>
          <w:p w14:paraId="72A75296"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29,545,877</w:t>
            </w:r>
          </w:p>
        </w:tc>
        <w:tc>
          <w:tcPr>
            <w:tcW w:w="1659" w:type="dxa"/>
            <w:tcBorders>
              <w:top w:val="nil"/>
              <w:left w:val="nil"/>
              <w:bottom w:val="single" w:sz="4" w:space="0" w:color="auto"/>
              <w:right w:val="single" w:sz="4" w:space="0" w:color="auto"/>
            </w:tcBorders>
            <w:shd w:val="clear" w:color="auto" w:fill="auto"/>
            <w:noWrap/>
            <w:vAlign w:val="center"/>
            <w:hideMark/>
          </w:tcPr>
          <w:p w14:paraId="18183CE8"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3.444820</w:t>
            </w:r>
          </w:p>
        </w:tc>
        <w:tc>
          <w:tcPr>
            <w:tcW w:w="1652" w:type="dxa"/>
            <w:tcBorders>
              <w:top w:val="nil"/>
              <w:left w:val="nil"/>
              <w:bottom w:val="single" w:sz="4" w:space="0" w:color="auto"/>
              <w:right w:val="single" w:sz="4" w:space="0" w:color="auto"/>
            </w:tcBorders>
            <w:shd w:val="clear" w:color="auto" w:fill="auto"/>
            <w:noWrap/>
            <w:vAlign w:val="center"/>
            <w:hideMark/>
          </w:tcPr>
          <w:p w14:paraId="74E53FDC"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1,018</w:t>
            </w:r>
          </w:p>
        </w:tc>
        <w:tc>
          <w:tcPr>
            <w:tcW w:w="3402" w:type="dxa"/>
            <w:tcBorders>
              <w:top w:val="nil"/>
              <w:left w:val="nil"/>
              <w:bottom w:val="single" w:sz="4" w:space="0" w:color="auto"/>
              <w:right w:val="single" w:sz="8" w:space="0" w:color="auto"/>
            </w:tcBorders>
            <w:shd w:val="clear" w:color="auto" w:fill="auto"/>
            <w:noWrap/>
            <w:vAlign w:val="center"/>
            <w:hideMark/>
          </w:tcPr>
          <w:p w14:paraId="19CFC1E0"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                               745,031</w:t>
            </w:r>
          </w:p>
        </w:tc>
      </w:tr>
      <w:tr w:rsidR="00A2470A" w:rsidRPr="005934A1" w14:paraId="5B382D86" w14:textId="77777777" w:rsidTr="00A2470A">
        <w:trPr>
          <w:trHeight w:val="174"/>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01029397"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2030</w:t>
            </w:r>
          </w:p>
        </w:tc>
        <w:tc>
          <w:tcPr>
            <w:tcW w:w="1388" w:type="dxa"/>
            <w:tcBorders>
              <w:top w:val="nil"/>
              <w:left w:val="nil"/>
              <w:bottom w:val="single" w:sz="4" w:space="0" w:color="auto"/>
              <w:right w:val="single" w:sz="4" w:space="0" w:color="auto"/>
            </w:tcBorders>
            <w:shd w:val="clear" w:color="auto" w:fill="auto"/>
            <w:noWrap/>
            <w:vAlign w:val="bottom"/>
            <w:hideMark/>
          </w:tcPr>
          <w:p w14:paraId="5AE4C2AC"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29,931,725</w:t>
            </w:r>
          </w:p>
        </w:tc>
        <w:tc>
          <w:tcPr>
            <w:tcW w:w="1659" w:type="dxa"/>
            <w:tcBorders>
              <w:top w:val="nil"/>
              <w:left w:val="nil"/>
              <w:bottom w:val="single" w:sz="4" w:space="0" w:color="auto"/>
              <w:right w:val="single" w:sz="4" w:space="0" w:color="auto"/>
            </w:tcBorders>
            <w:shd w:val="clear" w:color="auto" w:fill="auto"/>
            <w:noWrap/>
            <w:vAlign w:val="center"/>
            <w:hideMark/>
          </w:tcPr>
          <w:p w14:paraId="150D30E2"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3.444820</w:t>
            </w:r>
          </w:p>
        </w:tc>
        <w:tc>
          <w:tcPr>
            <w:tcW w:w="1652" w:type="dxa"/>
            <w:tcBorders>
              <w:top w:val="nil"/>
              <w:left w:val="nil"/>
              <w:bottom w:val="single" w:sz="4" w:space="0" w:color="auto"/>
              <w:right w:val="single" w:sz="4" w:space="0" w:color="auto"/>
            </w:tcBorders>
            <w:shd w:val="clear" w:color="auto" w:fill="auto"/>
            <w:noWrap/>
            <w:vAlign w:val="center"/>
            <w:hideMark/>
          </w:tcPr>
          <w:p w14:paraId="3618F85D"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1,031</w:t>
            </w:r>
          </w:p>
        </w:tc>
        <w:tc>
          <w:tcPr>
            <w:tcW w:w="3402" w:type="dxa"/>
            <w:tcBorders>
              <w:top w:val="nil"/>
              <w:left w:val="nil"/>
              <w:bottom w:val="single" w:sz="4" w:space="0" w:color="auto"/>
              <w:right w:val="single" w:sz="8" w:space="0" w:color="auto"/>
            </w:tcBorders>
            <w:shd w:val="clear" w:color="auto" w:fill="auto"/>
            <w:noWrap/>
            <w:vAlign w:val="center"/>
            <w:hideMark/>
          </w:tcPr>
          <w:p w14:paraId="76FCCC57"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                               754,761</w:t>
            </w:r>
          </w:p>
        </w:tc>
      </w:tr>
      <w:tr w:rsidR="00A2470A" w:rsidRPr="005934A1" w14:paraId="61B7BF41" w14:textId="77777777" w:rsidTr="000337CE">
        <w:trPr>
          <w:trHeight w:val="174"/>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15375AB4"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2031</w:t>
            </w:r>
          </w:p>
        </w:tc>
        <w:tc>
          <w:tcPr>
            <w:tcW w:w="1388" w:type="dxa"/>
            <w:tcBorders>
              <w:top w:val="nil"/>
              <w:left w:val="nil"/>
              <w:bottom w:val="single" w:sz="4" w:space="0" w:color="auto"/>
              <w:right w:val="single" w:sz="4" w:space="0" w:color="auto"/>
            </w:tcBorders>
            <w:shd w:val="clear" w:color="auto" w:fill="auto"/>
            <w:noWrap/>
            <w:vAlign w:val="bottom"/>
            <w:hideMark/>
          </w:tcPr>
          <w:p w14:paraId="079F69E2"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30,314,335</w:t>
            </w:r>
          </w:p>
        </w:tc>
        <w:tc>
          <w:tcPr>
            <w:tcW w:w="1659" w:type="dxa"/>
            <w:tcBorders>
              <w:top w:val="nil"/>
              <w:left w:val="nil"/>
              <w:bottom w:val="single" w:sz="4" w:space="0" w:color="auto"/>
              <w:right w:val="single" w:sz="4" w:space="0" w:color="auto"/>
            </w:tcBorders>
            <w:shd w:val="clear" w:color="auto" w:fill="auto"/>
            <w:noWrap/>
            <w:vAlign w:val="center"/>
            <w:hideMark/>
          </w:tcPr>
          <w:p w14:paraId="09ADC950"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3.444820</w:t>
            </w:r>
          </w:p>
        </w:tc>
        <w:tc>
          <w:tcPr>
            <w:tcW w:w="1652" w:type="dxa"/>
            <w:tcBorders>
              <w:top w:val="nil"/>
              <w:left w:val="nil"/>
              <w:bottom w:val="single" w:sz="4" w:space="0" w:color="auto"/>
              <w:right w:val="single" w:sz="4" w:space="0" w:color="auto"/>
            </w:tcBorders>
            <w:shd w:val="clear" w:color="auto" w:fill="auto"/>
            <w:noWrap/>
            <w:vAlign w:val="center"/>
            <w:hideMark/>
          </w:tcPr>
          <w:p w14:paraId="6B10BD1B"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1,044</w:t>
            </w:r>
          </w:p>
        </w:tc>
        <w:tc>
          <w:tcPr>
            <w:tcW w:w="3402" w:type="dxa"/>
            <w:tcBorders>
              <w:top w:val="nil"/>
              <w:left w:val="nil"/>
              <w:bottom w:val="single" w:sz="4" w:space="0" w:color="auto"/>
              <w:right w:val="single" w:sz="8" w:space="0" w:color="auto"/>
            </w:tcBorders>
            <w:shd w:val="clear" w:color="auto" w:fill="auto"/>
            <w:noWrap/>
            <w:vAlign w:val="center"/>
            <w:hideMark/>
          </w:tcPr>
          <w:p w14:paraId="7C3393BD"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                               764,409</w:t>
            </w:r>
          </w:p>
        </w:tc>
      </w:tr>
      <w:tr w:rsidR="00A2470A" w:rsidRPr="005934A1" w14:paraId="0FD50CDC" w14:textId="77777777" w:rsidTr="000337CE">
        <w:trPr>
          <w:trHeight w:val="181"/>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11BB8" w14:textId="77777777" w:rsidR="00A2470A" w:rsidRPr="005934A1" w:rsidRDefault="00A2470A" w:rsidP="00A2470A">
            <w:pPr>
              <w:spacing w:before="120"/>
              <w:jc w:val="center"/>
              <w:rPr>
                <w:rFonts w:eastAsia="Times New Roman" w:cs="Arial"/>
                <w:color w:val="000000"/>
                <w:sz w:val="20"/>
                <w:szCs w:val="20"/>
                <w:lang w:eastAsia="en-AU"/>
              </w:rPr>
            </w:pP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14C65" w14:textId="77777777" w:rsidR="00A2470A" w:rsidRPr="005934A1" w:rsidRDefault="00A2470A" w:rsidP="00A2470A">
            <w:pPr>
              <w:spacing w:before="120"/>
              <w:jc w:val="center"/>
              <w:rPr>
                <w:rFonts w:eastAsia="Times New Roman" w:cs="Arial"/>
                <w:color w:val="000000"/>
                <w:sz w:val="20"/>
                <w:szCs w:val="20"/>
                <w:lang w:eastAsia="en-AU"/>
              </w:rPr>
            </w:pP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C7D68" w14:textId="77777777" w:rsidR="00A2470A" w:rsidRPr="005934A1" w:rsidRDefault="00A2470A" w:rsidP="00A2470A">
            <w:pPr>
              <w:spacing w:before="120"/>
              <w:jc w:val="center"/>
              <w:rPr>
                <w:rFonts w:eastAsia="Times New Roman" w:cs="Arial"/>
                <w:sz w:val="18"/>
                <w:szCs w:val="18"/>
                <w:lang w:eastAsia="en-AU"/>
              </w:rPr>
            </w:pP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3D9E6" w14:textId="77777777" w:rsidR="00A2470A" w:rsidRPr="005934A1" w:rsidRDefault="00A2470A" w:rsidP="00A2470A">
            <w:pPr>
              <w:spacing w:before="120"/>
              <w:jc w:val="center"/>
              <w:rPr>
                <w:rFonts w:eastAsia="Times New Roman" w:cs="Arial"/>
                <w:b/>
                <w:bCs/>
                <w:color w:val="000000"/>
                <w:sz w:val="20"/>
                <w:szCs w:val="20"/>
                <w:lang w:eastAsia="en-AU"/>
              </w:rPr>
            </w:pPr>
            <w:r w:rsidRPr="005934A1">
              <w:rPr>
                <w:rFonts w:eastAsia="Times New Roman" w:cs="Arial"/>
                <w:b/>
                <w:bCs/>
                <w:color w:val="000000"/>
                <w:sz w:val="20"/>
                <w:szCs w:val="20"/>
                <w:lang w:eastAsia="en-AU"/>
              </w:rPr>
              <w:t>9,835</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AFB3D" w14:textId="77777777" w:rsidR="00A2470A" w:rsidRPr="005934A1" w:rsidRDefault="00A2470A" w:rsidP="00A2470A">
            <w:pPr>
              <w:spacing w:before="120"/>
              <w:jc w:val="center"/>
              <w:rPr>
                <w:rFonts w:eastAsia="Times New Roman" w:cs="Arial"/>
                <w:b/>
                <w:bCs/>
                <w:color w:val="000000"/>
                <w:sz w:val="20"/>
                <w:szCs w:val="20"/>
                <w:lang w:eastAsia="en-AU"/>
              </w:rPr>
            </w:pPr>
            <w:r w:rsidRPr="005934A1">
              <w:rPr>
                <w:rFonts w:eastAsia="Times New Roman" w:cs="Arial"/>
                <w:b/>
                <w:bCs/>
                <w:color w:val="000000"/>
                <w:sz w:val="20"/>
                <w:szCs w:val="20"/>
                <w:lang w:eastAsia="en-AU"/>
              </w:rPr>
              <w:t>$                           7,199,038</w:t>
            </w:r>
          </w:p>
        </w:tc>
      </w:tr>
    </w:tbl>
    <w:p w14:paraId="492F22B7" w14:textId="0B319E86" w:rsidR="00A2470A" w:rsidRPr="00331F51" w:rsidRDefault="00A2470A" w:rsidP="00877557"/>
    <w:p w14:paraId="6D6E6EC7" w14:textId="77777777" w:rsidR="00A2470A" w:rsidRPr="002C1FE5" w:rsidRDefault="00A2470A" w:rsidP="00A2470A">
      <w:pPr>
        <w:pStyle w:val="Heading2"/>
        <w:spacing w:before="120"/>
      </w:pPr>
      <w:bookmarkStart w:id="322" w:name="_Toc114233115"/>
      <w:bookmarkStart w:id="323" w:name="_Toc126074116"/>
      <w:r w:rsidRPr="00BB4E99">
        <w:t>Forecast</w:t>
      </w:r>
      <w:bookmarkEnd w:id="322"/>
      <w:r w:rsidRPr="00BB4E99">
        <w:t xml:space="preserve"> fatalities</w:t>
      </w:r>
      <w:bookmarkEnd w:id="323"/>
    </w:p>
    <w:p w14:paraId="5BED8713" w14:textId="4AF1610E" w:rsidR="00591BE1" w:rsidRDefault="00A2470A" w:rsidP="00591BE1">
      <w:pPr>
        <w:spacing w:before="120"/>
      </w:pPr>
      <w:r w:rsidRPr="005934A1">
        <w:t>The data currently available to the ACCC indicates</w:t>
      </w:r>
      <w:r w:rsidR="00591BE1">
        <w:t xml:space="preserve"> </w:t>
      </w:r>
      <w:r w:rsidRPr="005934A1">
        <w:t>there have been at least 28 deaths associated with toppling furniture between 2000 and 2021</w:t>
      </w:r>
      <w:r>
        <w:t>,</w:t>
      </w:r>
      <w:r w:rsidRPr="005934A1">
        <w:t xml:space="preserve"> with children</w:t>
      </w:r>
      <w:r w:rsidR="000337CE">
        <w:t xml:space="preserve"> aged 4 </w:t>
      </w:r>
      <w:r w:rsidR="00F35F40">
        <w:t xml:space="preserve">years </w:t>
      </w:r>
      <w:r w:rsidR="000337CE">
        <w:t>and</w:t>
      </w:r>
      <w:r w:rsidRPr="005934A1">
        <w:t xml:space="preserve"> </w:t>
      </w:r>
      <w:r w:rsidR="002F7058" w:rsidRPr="005934A1">
        <w:t>under</w:t>
      </w:r>
      <w:r w:rsidR="002F7058">
        <w:t xml:space="preserve"> representing</w:t>
      </w:r>
      <w:r w:rsidRPr="005934A1">
        <w:t xml:space="preserve"> the highest proportion</w:t>
      </w:r>
      <w:r w:rsidR="00591BE1">
        <w:t>.</w:t>
      </w:r>
    </w:p>
    <w:p w14:paraId="1F387DDF" w14:textId="695041F7" w:rsidR="00A2470A" w:rsidRDefault="00591BE1" w:rsidP="00591BE1">
      <w:r>
        <w:t>T</w:t>
      </w:r>
      <w:r w:rsidR="00A2470A" w:rsidRPr="005934A1">
        <w:t>o obtain the rate of fatalities per 100,000 the average forecasted number of fatalities was divided by the projected population for 2021</w:t>
      </w:r>
      <w:r>
        <w:t>.</w:t>
      </w:r>
      <w:r w:rsidR="008407A1">
        <w:t xml:space="preserve"> </w:t>
      </w:r>
      <w:r>
        <w:t>B</w:t>
      </w:r>
      <w:r w:rsidR="00A2470A" w:rsidRPr="005934A1">
        <w:t xml:space="preserve">ased on this trend and the projected increase in Australia’s population, the ACCC estimates </w:t>
      </w:r>
      <w:r w:rsidR="00441BF0">
        <w:t>a</w:t>
      </w:r>
      <w:r w:rsidR="00441BF0" w:rsidRPr="005934A1">
        <w:t xml:space="preserve"> </w:t>
      </w:r>
      <w:r w:rsidR="00A2470A" w:rsidRPr="005934A1">
        <w:t>high probability of 14 fatalities in the next 10 years</w:t>
      </w:r>
      <w:r>
        <w:t>.</w:t>
      </w:r>
    </w:p>
    <w:p w14:paraId="392C3E16" w14:textId="2AE65665" w:rsidR="00AD66B1" w:rsidRDefault="00591BE1" w:rsidP="00C95638">
      <w:r>
        <w:t>B</w:t>
      </w:r>
      <w:r w:rsidR="00A2470A">
        <w:t xml:space="preserve">ased on </w:t>
      </w:r>
      <w:r w:rsidR="00A2470A" w:rsidRPr="005934A1">
        <w:t xml:space="preserve">the </w:t>
      </w:r>
      <w:r w:rsidR="00A2470A">
        <w:t xml:space="preserve">estimated </w:t>
      </w:r>
      <w:r w:rsidR="00EB61DB">
        <w:t>VSL</w:t>
      </w:r>
      <w:r w:rsidR="00A2470A">
        <w:t>, the cost</w:t>
      </w:r>
      <w:r w:rsidR="00A2470A" w:rsidRPr="005934A1">
        <w:t xml:space="preserve"> </w:t>
      </w:r>
      <w:r w:rsidR="00A2470A">
        <w:t>to society of</w:t>
      </w:r>
      <w:r w:rsidR="00A2470A" w:rsidRPr="005934A1">
        <w:t xml:space="preserve"> toppling furniture fatalities </w:t>
      </w:r>
      <w:r w:rsidR="00EB61DB">
        <w:t xml:space="preserve">is estimated </w:t>
      </w:r>
      <w:r w:rsidR="00A2470A" w:rsidRPr="005934A1">
        <w:t>to be between $6.88 million and $7.8 million for the forecast period (2022 – 2031).</w:t>
      </w:r>
      <w:r w:rsidR="00A2470A" w:rsidRPr="005934A1">
        <w:rPr>
          <w:rStyle w:val="FootnoteReference"/>
        </w:rPr>
        <w:footnoteReference w:id="28"/>
      </w:r>
      <w:r w:rsidR="00A2470A" w:rsidRPr="005934A1">
        <w:t xml:space="preserve"> </w:t>
      </w:r>
    </w:p>
    <w:p w14:paraId="618D2C71" w14:textId="77777777" w:rsidR="00AD66B1" w:rsidRDefault="00AD66B1">
      <w:r>
        <w:br w:type="page"/>
      </w:r>
    </w:p>
    <w:p w14:paraId="715D7F37" w14:textId="77777777" w:rsidR="00770572" w:rsidRDefault="00770572" w:rsidP="00C95638"/>
    <w:p w14:paraId="5BFDE8A1" w14:textId="223436B5" w:rsidR="00A2470A" w:rsidRPr="00B67554" w:rsidRDefault="00A2470A" w:rsidP="00A2470A">
      <w:pPr>
        <w:pStyle w:val="TableHeading"/>
        <w:spacing w:before="120" w:after="120"/>
        <w:rPr>
          <w:b w:val="0"/>
        </w:rPr>
      </w:pPr>
      <w:r w:rsidRPr="00B67554">
        <w:t>Table 3: Forecast number of fatalities and associated cost</w:t>
      </w:r>
    </w:p>
    <w:tbl>
      <w:tblPr>
        <w:tblW w:w="9155" w:type="dxa"/>
        <w:tblLook w:val="04A0" w:firstRow="1" w:lastRow="0" w:firstColumn="1" w:lastColumn="0" w:noHBand="0" w:noVBand="1"/>
      </w:tblPr>
      <w:tblGrid>
        <w:gridCol w:w="1009"/>
        <w:gridCol w:w="1455"/>
        <w:gridCol w:w="2184"/>
        <w:gridCol w:w="1311"/>
        <w:gridCol w:w="3196"/>
      </w:tblGrid>
      <w:tr w:rsidR="00A2470A" w:rsidRPr="005934A1" w14:paraId="1541E344" w14:textId="77777777" w:rsidTr="00A2470A">
        <w:trPr>
          <w:trHeight w:val="717"/>
        </w:trPr>
        <w:tc>
          <w:tcPr>
            <w:tcW w:w="1009" w:type="dxa"/>
            <w:tcBorders>
              <w:top w:val="single" w:sz="8" w:space="0" w:color="auto"/>
              <w:left w:val="single" w:sz="8" w:space="0" w:color="auto"/>
              <w:bottom w:val="nil"/>
              <w:right w:val="nil"/>
            </w:tcBorders>
            <w:shd w:val="clear" w:color="auto" w:fill="auto"/>
            <w:noWrap/>
            <w:vAlign w:val="center"/>
            <w:hideMark/>
          </w:tcPr>
          <w:p w14:paraId="36D2585B" w14:textId="77777777" w:rsidR="00A2470A" w:rsidRPr="005934A1" w:rsidRDefault="00A2470A" w:rsidP="00A2470A">
            <w:pPr>
              <w:spacing w:before="120"/>
              <w:jc w:val="center"/>
              <w:rPr>
                <w:rFonts w:eastAsia="Times New Roman" w:cs="Arial"/>
                <w:b/>
                <w:bCs/>
                <w:color w:val="000000"/>
                <w:sz w:val="20"/>
                <w:szCs w:val="20"/>
                <w:lang w:eastAsia="en-AU"/>
              </w:rPr>
            </w:pPr>
            <w:r w:rsidRPr="005934A1">
              <w:rPr>
                <w:rFonts w:eastAsia="Times New Roman" w:cs="Arial"/>
                <w:b/>
                <w:bCs/>
                <w:color w:val="000000"/>
                <w:sz w:val="20"/>
                <w:szCs w:val="20"/>
                <w:lang w:eastAsia="en-AU"/>
              </w:rPr>
              <w:t>Year</w:t>
            </w:r>
          </w:p>
        </w:tc>
        <w:tc>
          <w:tcPr>
            <w:tcW w:w="145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947C2B" w14:textId="77777777" w:rsidR="00A2470A" w:rsidRPr="005934A1" w:rsidRDefault="00A2470A" w:rsidP="00A2470A">
            <w:pPr>
              <w:spacing w:before="120"/>
              <w:jc w:val="center"/>
              <w:rPr>
                <w:rFonts w:eastAsia="Times New Roman" w:cs="Arial"/>
                <w:b/>
                <w:bCs/>
                <w:color w:val="000000"/>
                <w:sz w:val="20"/>
                <w:szCs w:val="20"/>
                <w:lang w:eastAsia="en-AU"/>
              </w:rPr>
            </w:pPr>
            <w:r w:rsidRPr="005934A1">
              <w:rPr>
                <w:rFonts w:eastAsia="Times New Roman" w:cs="Arial"/>
                <w:b/>
                <w:bCs/>
                <w:color w:val="000000"/>
                <w:sz w:val="20"/>
                <w:szCs w:val="20"/>
                <w:lang w:eastAsia="en-AU"/>
              </w:rPr>
              <w:t>Projected Population</w:t>
            </w:r>
          </w:p>
        </w:tc>
        <w:tc>
          <w:tcPr>
            <w:tcW w:w="2184" w:type="dxa"/>
            <w:tcBorders>
              <w:top w:val="single" w:sz="8" w:space="0" w:color="auto"/>
              <w:left w:val="nil"/>
              <w:bottom w:val="single" w:sz="8" w:space="0" w:color="auto"/>
              <w:right w:val="single" w:sz="8" w:space="0" w:color="auto"/>
            </w:tcBorders>
            <w:shd w:val="clear" w:color="auto" w:fill="auto"/>
            <w:vAlign w:val="center"/>
            <w:hideMark/>
          </w:tcPr>
          <w:p w14:paraId="616C40AE" w14:textId="582908ED" w:rsidR="00A2470A" w:rsidRPr="005934A1" w:rsidRDefault="00A2470A" w:rsidP="00A2470A">
            <w:pPr>
              <w:spacing w:before="120"/>
              <w:jc w:val="center"/>
              <w:rPr>
                <w:rFonts w:eastAsia="Times New Roman" w:cs="Arial"/>
                <w:b/>
                <w:bCs/>
                <w:color w:val="000000"/>
                <w:sz w:val="20"/>
                <w:szCs w:val="20"/>
                <w:lang w:eastAsia="en-AU"/>
              </w:rPr>
            </w:pPr>
            <w:r w:rsidRPr="005934A1">
              <w:rPr>
                <w:rFonts w:eastAsia="Times New Roman" w:cs="Arial"/>
                <w:b/>
                <w:bCs/>
                <w:color w:val="000000"/>
                <w:sz w:val="20"/>
                <w:szCs w:val="20"/>
                <w:lang w:eastAsia="en-AU"/>
              </w:rPr>
              <w:t>Fatalities per 100</w:t>
            </w:r>
            <w:r w:rsidR="0060104F">
              <w:rPr>
                <w:rFonts w:eastAsia="Times New Roman" w:cs="Arial"/>
                <w:b/>
                <w:bCs/>
                <w:color w:val="000000"/>
                <w:sz w:val="20"/>
                <w:szCs w:val="20"/>
                <w:lang w:eastAsia="en-AU"/>
              </w:rPr>
              <w:t>,</w:t>
            </w:r>
            <w:r w:rsidRPr="005934A1">
              <w:rPr>
                <w:rFonts w:eastAsia="Times New Roman" w:cs="Arial"/>
                <w:b/>
                <w:bCs/>
                <w:color w:val="000000"/>
                <w:sz w:val="20"/>
                <w:szCs w:val="20"/>
                <w:lang w:eastAsia="en-AU"/>
              </w:rPr>
              <w:t>000 population</w:t>
            </w:r>
          </w:p>
        </w:tc>
        <w:tc>
          <w:tcPr>
            <w:tcW w:w="1311" w:type="dxa"/>
            <w:tcBorders>
              <w:top w:val="single" w:sz="8" w:space="0" w:color="auto"/>
              <w:left w:val="nil"/>
              <w:bottom w:val="nil"/>
              <w:right w:val="nil"/>
            </w:tcBorders>
            <w:shd w:val="clear" w:color="auto" w:fill="auto"/>
            <w:vAlign w:val="center"/>
            <w:hideMark/>
          </w:tcPr>
          <w:p w14:paraId="10FA42DB" w14:textId="77777777" w:rsidR="00A2470A" w:rsidRPr="005934A1" w:rsidRDefault="00A2470A" w:rsidP="00A2470A">
            <w:pPr>
              <w:spacing w:before="120"/>
              <w:jc w:val="center"/>
              <w:rPr>
                <w:rFonts w:eastAsia="Times New Roman" w:cs="Arial"/>
                <w:b/>
                <w:bCs/>
                <w:color w:val="000000"/>
                <w:sz w:val="20"/>
                <w:szCs w:val="20"/>
                <w:lang w:eastAsia="en-AU"/>
              </w:rPr>
            </w:pPr>
            <w:r w:rsidRPr="005934A1">
              <w:rPr>
                <w:rFonts w:eastAsia="Times New Roman" w:cs="Arial"/>
                <w:b/>
                <w:bCs/>
                <w:color w:val="000000"/>
                <w:sz w:val="20"/>
                <w:szCs w:val="20"/>
                <w:lang w:eastAsia="en-AU"/>
              </w:rPr>
              <w:t>Forecast fatalities</w:t>
            </w:r>
          </w:p>
        </w:tc>
        <w:tc>
          <w:tcPr>
            <w:tcW w:w="31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E397C2" w14:textId="77777777" w:rsidR="00A2470A" w:rsidRPr="005934A1" w:rsidRDefault="00A2470A" w:rsidP="00A2470A">
            <w:pPr>
              <w:spacing w:before="120"/>
              <w:jc w:val="center"/>
              <w:rPr>
                <w:rFonts w:eastAsia="Times New Roman" w:cs="Arial"/>
                <w:b/>
                <w:bCs/>
                <w:color w:val="000000"/>
                <w:sz w:val="20"/>
                <w:szCs w:val="20"/>
                <w:lang w:eastAsia="en-AU"/>
              </w:rPr>
            </w:pPr>
            <w:r w:rsidRPr="005934A1">
              <w:rPr>
                <w:rFonts w:eastAsia="Times New Roman" w:cs="Arial"/>
                <w:b/>
                <w:bCs/>
                <w:color w:val="000000"/>
                <w:sz w:val="20"/>
                <w:szCs w:val="20"/>
                <w:lang w:eastAsia="en-AU"/>
              </w:rPr>
              <w:t xml:space="preserve">Estimated </w:t>
            </w:r>
            <w:r>
              <w:rPr>
                <w:rFonts w:eastAsia="Times New Roman" w:cs="Arial"/>
                <w:b/>
                <w:bCs/>
                <w:color w:val="000000"/>
                <w:sz w:val="20"/>
                <w:szCs w:val="20"/>
                <w:lang w:eastAsia="en-AU"/>
              </w:rPr>
              <w:t>VSL</w:t>
            </w:r>
          </w:p>
        </w:tc>
      </w:tr>
      <w:tr w:rsidR="00A2470A" w:rsidRPr="005934A1" w14:paraId="1F8248C5" w14:textId="77777777" w:rsidTr="00A2470A">
        <w:trPr>
          <w:trHeight w:val="244"/>
        </w:trPr>
        <w:tc>
          <w:tcPr>
            <w:tcW w:w="1009" w:type="dxa"/>
            <w:tcBorders>
              <w:top w:val="single" w:sz="8" w:space="0" w:color="auto"/>
              <w:left w:val="single" w:sz="8" w:space="0" w:color="auto"/>
              <w:bottom w:val="single" w:sz="4" w:space="0" w:color="auto"/>
              <w:right w:val="nil"/>
            </w:tcBorders>
            <w:shd w:val="clear" w:color="auto" w:fill="auto"/>
            <w:noWrap/>
            <w:vAlign w:val="bottom"/>
            <w:hideMark/>
          </w:tcPr>
          <w:p w14:paraId="1BB86FDD"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2022</w:t>
            </w:r>
          </w:p>
        </w:tc>
        <w:tc>
          <w:tcPr>
            <w:tcW w:w="1455" w:type="dxa"/>
            <w:tcBorders>
              <w:top w:val="nil"/>
              <w:left w:val="single" w:sz="8" w:space="0" w:color="auto"/>
              <w:bottom w:val="single" w:sz="4" w:space="0" w:color="auto"/>
              <w:right w:val="single" w:sz="4" w:space="0" w:color="auto"/>
            </w:tcBorders>
            <w:shd w:val="clear" w:color="auto" w:fill="auto"/>
            <w:noWrap/>
            <w:vAlign w:val="bottom"/>
            <w:hideMark/>
          </w:tcPr>
          <w:p w14:paraId="0DA821B1"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26,727,025</w:t>
            </w:r>
          </w:p>
        </w:tc>
        <w:tc>
          <w:tcPr>
            <w:tcW w:w="2184" w:type="dxa"/>
            <w:tcBorders>
              <w:top w:val="nil"/>
              <w:left w:val="nil"/>
              <w:bottom w:val="single" w:sz="4" w:space="0" w:color="auto"/>
              <w:right w:val="single" w:sz="4" w:space="0" w:color="auto"/>
            </w:tcBorders>
            <w:shd w:val="clear" w:color="auto" w:fill="auto"/>
            <w:noWrap/>
            <w:vAlign w:val="center"/>
            <w:hideMark/>
          </w:tcPr>
          <w:p w14:paraId="062143D1"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0.005050</w:t>
            </w:r>
          </w:p>
        </w:tc>
        <w:tc>
          <w:tcPr>
            <w:tcW w:w="1311" w:type="dxa"/>
            <w:tcBorders>
              <w:top w:val="single" w:sz="8" w:space="0" w:color="auto"/>
              <w:left w:val="nil"/>
              <w:bottom w:val="single" w:sz="4" w:space="0" w:color="auto"/>
              <w:right w:val="single" w:sz="4" w:space="0" w:color="auto"/>
            </w:tcBorders>
            <w:shd w:val="clear" w:color="auto" w:fill="auto"/>
            <w:noWrap/>
            <w:hideMark/>
          </w:tcPr>
          <w:p w14:paraId="45336B76"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1.35</w:t>
            </w:r>
          </w:p>
        </w:tc>
        <w:tc>
          <w:tcPr>
            <w:tcW w:w="3196" w:type="dxa"/>
            <w:tcBorders>
              <w:top w:val="nil"/>
              <w:left w:val="nil"/>
              <w:bottom w:val="single" w:sz="4" w:space="0" w:color="auto"/>
              <w:right w:val="single" w:sz="8" w:space="0" w:color="auto"/>
            </w:tcBorders>
            <w:shd w:val="clear" w:color="auto" w:fill="auto"/>
            <w:noWrap/>
            <w:vAlign w:val="center"/>
            <w:hideMark/>
          </w:tcPr>
          <w:p w14:paraId="60AE7318"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 xml:space="preserve">$                            </w:t>
            </w:r>
            <w:r w:rsidRPr="008A2487">
              <w:rPr>
                <w:rFonts w:eastAsia="Times New Roman" w:cs="Arial"/>
                <w:color w:val="000000"/>
                <w:sz w:val="20"/>
                <w:szCs w:val="20"/>
                <w:lang w:eastAsia="en-AU"/>
              </w:rPr>
              <w:t>7,155,000</w:t>
            </w:r>
          </w:p>
        </w:tc>
      </w:tr>
      <w:tr w:rsidR="00A2470A" w:rsidRPr="005934A1" w14:paraId="0313F650" w14:textId="77777777" w:rsidTr="00A2470A">
        <w:trPr>
          <w:trHeight w:val="244"/>
        </w:trPr>
        <w:tc>
          <w:tcPr>
            <w:tcW w:w="1009" w:type="dxa"/>
            <w:tcBorders>
              <w:top w:val="nil"/>
              <w:left w:val="single" w:sz="8" w:space="0" w:color="auto"/>
              <w:bottom w:val="single" w:sz="4" w:space="0" w:color="auto"/>
              <w:right w:val="nil"/>
            </w:tcBorders>
            <w:shd w:val="clear" w:color="auto" w:fill="auto"/>
            <w:noWrap/>
            <w:vAlign w:val="bottom"/>
            <w:hideMark/>
          </w:tcPr>
          <w:p w14:paraId="642E7A5E"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2023</w:t>
            </w:r>
          </w:p>
        </w:tc>
        <w:tc>
          <w:tcPr>
            <w:tcW w:w="1455" w:type="dxa"/>
            <w:tcBorders>
              <w:top w:val="nil"/>
              <w:left w:val="single" w:sz="8" w:space="0" w:color="auto"/>
              <w:bottom w:val="single" w:sz="4" w:space="0" w:color="auto"/>
              <w:right w:val="single" w:sz="4" w:space="0" w:color="auto"/>
            </w:tcBorders>
            <w:shd w:val="clear" w:color="auto" w:fill="auto"/>
            <w:noWrap/>
            <w:vAlign w:val="bottom"/>
            <w:hideMark/>
          </w:tcPr>
          <w:p w14:paraId="661948F4"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27,147,199</w:t>
            </w:r>
          </w:p>
        </w:tc>
        <w:tc>
          <w:tcPr>
            <w:tcW w:w="2184" w:type="dxa"/>
            <w:tcBorders>
              <w:top w:val="nil"/>
              <w:left w:val="nil"/>
              <w:bottom w:val="single" w:sz="4" w:space="0" w:color="auto"/>
              <w:right w:val="single" w:sz="4" w:space="0" w:color="auto"/>
            </w:tcBorders>
            <w:shd w:val="clear" w:color="auto" w:fill="auto"/>
            <w:noWrap/>
            <w:vAlign w:val="center"/>
            <w:hideMark/>
          </w:tcPr>
          <w:p w14:paraId="7310AC8D"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0.005050</w:t>
            </w:r>
          </w:p>
        </w:tc>
        <w:tc>
          <w:tcPr>
            <w:tcW w:w="1311" w:type="dxa"/>
            <w:tcBorders>
              <w:top w:val="nil"/>
              <w:left w:val="nil"/>
              <w:bottom w:val="single" w:sz="4" w:space="0" w:color="auto"/>
              <w:right w:val="single" w:sz="4" w:space="0" w:color="auto"/>
            </w:tcBorders>
            <w:shd w:val="clear" w:color="auto" w:fill="auto"/>
            <w:noWrap/>
            <w:hideMark/>
          </w:tcPr>
          <w:p w14:paraId="61B89D59"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1.37</w:t>
            </w:r>
          </w:p>
        </w:tc>
        <w:tc>
          <w:tcPr>
            <w:tcW w:w="3196" w:type="dxa"/>
            <w:tcBorders>
              <w:top w:val="nil"/>
              <w:left w:val="nil"/>
              <w:bottom w:val="single" w:sz="4" w:space="0" w:color="auto"/>
              <w:right w:val="single" w:sz="8" w:space="0" w:color="auto"/>
            </w:tcBorders>
            <w:shd w:val="clear" w:color="auto" w:fill="auto"/>
            <w:noWrap/>
            <w:vAlign w:val="center"/>
            <w:hideMark/>
          </w:tcPr>
          <w:p w14:paraId="0279508E"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 xml:space="preserve">$                            </w:t>
            </w:r>
            <w:r w:rsidRPr="00DD3117">
              <w:rPr>
                <w:rFonts w:eastAsia="Times New Roman" w:cs="Arial"/>
                <w:color w:val="000000"/>
                <w:sz w:val="20"/>
                <w:szCs w:val="20"/>
                <w:lang w:eastAsia="en-AU"/>
              </w:rPr>
              <w:t>7,261,000</w:t>
            </w:r>
          </w:p>
        </w:tc>
      </w:tr>
      <w:tr w:rsidR="00A2470A" w:rsidRPr="005934A1" w14:paraId="1D7B1BCF" w14:textId="77777777" w:rsidTr="00A2470A">
        <w:trPr>
          <w:trHeight w:val="244"/>
        </w:trPr>
        <w:tc>
          <w:tcPr>
            <w:tcW w:w="1009" w:type="dxa"/>
            <w:tcBorders>
              <w:top w:val="nil"/>
              <w:left w:val="single" w:sz="8" w:space="0" w:color="auto"/>
              <w:bottom w:val="single" w:sz="4" w:space="0" w:color="auto"/>
              <w:right w:val="nil"/>
            </w:tcBorders>
            <w:shd w:val="clear" w:color="auto" w:fill="auto"/>
            <w:noWrap/>
            <w:vAlign w:val="bottom"/>
            <w:hideMark/>
          </w:tcPr>
          <w:p w14:paraId="2FDCFA50"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2024</w:t>
            </w:r>
          </w:p>
        </w:tc>
        <w:tc>
          <w:tcPr>
            <w:tcW w:w="1455" w:type="dxa"/>
            <w:tcBorders>
              <w:top w:val="nil"/>
              <w:left w:val="single" w:sz="8" w:space="0" w:color="auto"/>
              <w:bottom w:val="single" w:sz="4" w:space="0" w:color="auto"/>
              <w:right w:val="single" w:sz="4" w:space="0" w:color="auto"/>
            </w:tcBorders>
            <w:shd w:val="clear" w:color="auto" w:fill="auto"/>
            <w:noWrap/>
            <w:vAlign w:val="bottom"/>
            <w:hideMark/>
          </w:tcPr>
          <w:p w14:paraId="4B7B8FB8"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27,562,195</w:t>
            </w:r>
          </w:p>
        </w:tc>
        <w:tc>
          <w:tcPr>
            <w:tcW w:w="2184" w:type="dxa"/>
            <w:tcBorders>
              <w:top w:val="nil"/>
              <w:left w:val="nil"/>
              <w:bottom w:val="single" w:sz="4" w:space="0" w:color="auto"/>
              <w:right w:val="single" w:sz="4" w:space="0" w:color="auto"/>
            </w:tcBorders>
            <w:shd w:val="clear" w:color="auto" w:fill="auto"/>
            <w:noWrap/>
            <w:vAlign w:val="center"/>
            <w:hideMark/>
          </w:tcPr>
          <w:p w14:paraId="5E457509"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0.005050</w:t>
            </w:r>
          </w:p>
        </w:tc>
        <w:tc>
          <w:tcPr>
            <w:tcW w:w="1311" w:type="dxa"/>
            <w:tcBorders>
              <w:top w:val="nil"/>
              <w:left w:val="nil"/>
              <w:bottom w:val="single" w:sz="4" w:space="0" w:color="auto"/>
              <w:right w:val="single" w:sz="4" w:space="0" w:color="auto"/>
            </w:tcBorders>
            <w:shd w:val="clear" w:color="auto" w:fill="auto"/>
            <w:noWrap/>
            <w:hideMark/>
          </w:tcPr>
          <w:p w14:paraId="29A7C964"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1.39</w:t>
            </w:r>
          </w:p>
        </w:tc>
        <w:tc>
          <w:tcPr>
            <w:tcW w:w="3196" w:type="dxa"/>
            <w:tcBorders>
              <w:top w:val="nil"/>
              <w:left w:val="nil"/>
              <w:bottom w:val="single" w:sz="4" w:space="0" w:color="auto"/>
              <w:right w:val="single" w:sz="8" w:space="0" w:color="auto"/>
            </w:tcBorders>
            <w:shd w:val="clear" w:color="auto" w:fill="auto"/>
            <w:noWrap/>
            <w:vAlign w:val="center"/>
            <w:hideMark/>
          </w:tcPr>
          <w:p w14:paraId="24E5C31E"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 xml:space="preserve">$                            </w:t>
            </w:r>
            <w:r w:rsidRPr="00DD3117">
              <w:rPr>
                <w:rFonts w:eastAsia="Times New Roman" w:cs="Arial"/>
                <w:color w:val="000000"/>
                <w:sz w:val="20"/>
                <w:szCs w:val="20"/>
                <w:lang w:eastAsia="en-AU"/>
              </w:rPr>
              <w:t>7,367,000</w:t>
            </w:r>
          </w:p>
        </w:tc>
      </w:tr>
      <w:tr w:rsidR="00A2470A" w:rsidRPr="005934A1" w14:paraId="29487890" w14:textId="77777777" w:rsidTr="00A2470A">
        <w:trPr>
          <w:trHeight w:val="244"/>
        </w:trPr>
        <w:tc>
          <w:tcPr>
            <w:tcW w:w="1009" w:type="dxa"/>
            <w:tcBorders>
              <w:top w:val="nil"/>
              <w:left w:val="single" w:sz="8" w:space="0" w:color="auto"/>
              <w:bottom w:val="single" w:sz="4" w:space="0" w:color="auto"/>
              <w:right w:val="nil"/>
            </w:tcBorders>
            <w:shd w:val="clear" w:color="auto" w:fill="auto"/>
            <w:noWrap/>
            <w:vAlign w:val="bottom"/>
            <w:hideMark/>
          </w:tcPr>
          <w:p w14:paraId="16E699BC"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2025</w:t>
            </w:r>
          </w:p>
        </w:tc>
        <w:tc>
          <w:tcPr>
            <w:tcW w:w="1455" w:type="dxa"/>
            <w:tcBorders>
              <w:top w:val="nil"/>
              <w:left w:val="single" w:sz="8" w:space="0" w:color="auto"/>
              <w:bottom w:val="single" w:sz="4" w:space="0" w:color="auto"/>
              <w:right w:val="single" w:sz="4" w:space="0" w:color="auto"/>
            </w:tcBorders>
            <w:shd w:val="clear" w:color="auto" w:fill="auto"/>
            <w:noWrap/>
            <w:vAlign w:val="bottom"/>
            <w:hideMark/>
          </w:tcPr>
          <w:p w14:paraId="27A48A5B"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27,970,435</w:t>
            </w:r>
          </w:p>
        </w:tc>
        <w:tc>
          <w:tcPr>
            <w:tcW w:w="2184" w:type="dxa"/>
            <w:tcBorders>
              <w:top w:val="nil"/>
              <w:left w:val="nil"/>
              <w:bottom w:val="single" w:sz="4" w:space="0" w:color="auto"/>
              <w:right w:val="single" w:sz="4" w:space="0" w:color="auto"/>
            </w:tcBorders>
            <w:shd w:val="clear" w:color="auto" w:fill="auto"/>
            <w:noWrap/>
            <w:vAlign w:val="center"/>
            <w:hideMark/>
          </w:tcPr>
          <w:p w14:paraId="6E5C7C5A"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0.005050</w:t>
            </w:r>
          </w:p>
        </w:tc>
        <w:tc>
          <w:tcPr>
            <w:tcW w:w="1311" w:type="dxa"/>
            <w:tcBorders>
              <w:top w:val="nil"/>
              <w:left w:val="nil"/>
              <w:bottom w:val="single" w:sz="4" w:space="0" w:color="auto"/>
              <w:right w:val="single" w:sz="4" w:space="0" w:color="auto"/>
            </w:tcBorders>
            <w:shd w:val="clear" w:color="auto" w:fill="auto"/>
            <w:noWrap/>
            <w:hideMark/>
          </w:tcPr>
          <w:p w14:paraId="6D1B8AD8"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1.41</w:t>
            </w:r>
          </w:p>
        </w:tc>
        <w:tc>
          <w:tcPr>
            <w:tcW w:w="3196" w:type="dxa"/>
            <w:tcBorders>
              <w:top w:val="nil"/>
              <w:left w:val="nil"/>
              <w:bottom w:val="single" w:sz="4" w:space="0" w:color="auto"/>
              <w:right w:val="single" w:sz="8" w:space="0" w:color="auto"/>
            </w:tcBorders>
            <w:shd w:val="clear" w:color="auto" w:fill="auto"/>
            <w:noWrap/>
            <w:vAlign w:val="center"/>
            <w:hideMark/>
          </w:tcPr>
          <w:p w14:paraId="54AA6DF0"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 xml:space="preserve">$                            </w:t>
            </w:r>
            <w:r w:rsidRPr="00DD3117">
              <w:rPr>
                <w:rFonts w:eastAsia="Times New Roman" w:cs="Arial"/>
                <w:color w:val="000000"/>
                <w:sz w:val="20"/>
                <w:szCs w:val="20"/>
                <w:lang w:eastAsia="en-AU"/>
              </w:rPr>
              <w:t>7,473,000</w:t>
            </w:r>
          </w:p>
        </w:tc>
      </w:tr>
      <w:tr w:rsidR="00A2470A" w:rsidRPr="005934A1" w14:paraId="796A90C3" w14:textId="77777777" w:rsidTr="00A2470A">
        <w:trPr>
          <w:trHeight w:val="244"/>
        </w:trPr>
        <w:tc>
          <w:tcPr>
            <w:tcW w:w="1009" w:type="dxa"/>
            <w:tcBorders>
              <w:top w:val="nil"/>
              <w:left w:val="single" w:sz="8" w:space="0" w:color="auto"/>
              <w:bottom w:val="single" w:sz="4" w:space="0" w:color="auto"/>
              <w:right w:val="nil"/>
            </w:tcBorders>
            <w:shd w:val="clear" w:color="auto" w:fill="auto"/>
            <w:noWrap/>
            <w:vAlign w:val="bottom"/>
            <w:hideMark/>
          </w:tcPr>
          <w:p w14:paraId="5C460720"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2026</w:t>
            </w:r>
          </w:p>
        </w:tc>
        <w:tc>
          <w:tcPr>
            <w:tcW w:w="1455" w:type="dxa"/>
            <w:tcBorders>
              <w:top w:val="nil"/>
              <w:left w:val="single" w:sz="8" w:space="0" w:color="auto"/>
              <w:bottom w:val="single" w:sz="4" w:space="0" w:color="auto"/>
              <w:right w:val="single" w:sz="4" w:space="0" w:color="auto"/>
            </w:tcBorders>
            <w:shd w:val="clear" w:color="auto" w:fill="auto"/>
            <w:noWrap/>
            <w:vAlign w:val="bottom"/>
            <w:hideMark/>
          </w:tcPr>
          <w:p w14:paraId="058C362A"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28,372,315</w:t>
            </w:r>
          </w:p>
        </w:tc>
        <w:tc>
          <w:tcPr>
            <w:tcW w:w="2184" w:type="dxa"/>
            <w:tcBorders>
              <w:top w:val="nil"/>
              <w:left w:val="nil"/>
              <w:bottom w:val="single" w:sz="4" w:space="0" w:color="auto"/>
              <w:right w:val="single" w:sz="4" w:space="0" w:color="auto"/>
            </w:tcBorders>
            <w:shd w:val="clear" w:color="auto" w:fill="auto"/>
            <w:noWrap/>
            <w:vAlign w:val="center"/>
            <w:hideMark/>
          </w:tcPr>
          <w:p w14:paraId="6F068D12"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0.005050</w:t>
            </w:r>
          </w:p>
        </w:tc>
        <w:tc>
          <w:tcPr>
            <w:tcW w:w="1311" w:type="dxa"/>
            <w:tcBorders>
              <w:top w:val="nil"/>
              <w:left w:val="nil"/>
              <w:bottom w:val="single" w:sz="4" w:space="0" w:color="auto"/>
              <w:right w:val="single" w:sz="4" w:space="0" w:color="auto"/>
            </w:tcBorders>
            <w:shd w:val="clear" w:color="auto" w:fill="auto"/>
            <w:noWrap/>
            <w:hideMark/>
          </w:tcPr>
          <w:p w14:paraId="695EE4FF"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1.43</w:t>
            </w:r>
          </w:p>
        </w:tc>
        <w:tc>
          <w:tcPr>
            <w:tcW w:w="3196" w:type="dxa"/>
            <w:tcBorders>
              <w:top w:val="nil"/>
              <w:left w:val="nil"/>
              <w:bottom w:val="single" w:sz="4" w:space="0" w:color="auto"/>
              <w:right w:val="single" w:sz="8" w:space="0" w:color="auto"/>
            </w:tcBorders>
            <w:shd w:val="clear" w:color="auto" w:fill="auto"/>
            <w:noWrap/>
            <w:vAlign w:val="center"/>
            <w:hideMark/>
          </w:tcPr>
          <w:p w14:paraId="7883F568"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 xml:space="preserve">$                            </w:t>
            </w:r>
            <w:r w:rsidRPr="00DD3117">
              <w:rPr>
                <w:rFonts w:eastAsia="Times New Roman" w:cs="Arial"/>
                <w:color w:val="000000"/>
                <w:sz w:val="20"/>
                <w:szCs w:val="20"/>
                <w:lang w:eastAsia="en-AU"/>
              </w:rPr>
              <w:t>7</w:t>
            </w:r>
            <w:r>
              <w:rPr>
                <w:rFonts w:eastAsia="Times New Roman" w:cs="Arial"/>
                <w:color w:val="000000"/>
                <w:sz w:val="20"/>
                <w:szCs w:val="20"/>
                <w:lang w:eastAsia="en-AU"/>
              </w:rPr>
              <w:t>,</w:t>
            </w:r>
            <w:r w:rsidRPr="00DD3117">
              <w:rPr>
                <w:rFonts w:eastAsia="Times New Roman" w:cs="Arial"/>
                <w:color w:val="000000"/>
                <w:sz w:val="20"/>
                <w:szCs w:val="20"/>
                <w:lang w:eastAsia="en-AU"/>
              </w:rPr>
              <w:t>579</w:t>
            </w:r>
            <w:r>
              <w:rPr>
                <w:rFonts w:eastAsia="Times New Roman" w:cs="Arial"/>
                <w:color w:val="000000"/>
                <w:sz w:val="20"/>
                <w:szCs w:val="20"/>
                <w:lang w:eastAsia="en-AU"/>
              </w:rPr>
              <w:t>,</w:t>
            </w:r>
            <w:r w:rsidRPr="00DD3117">
              <w:rPr>
                <w:rFonts w:eastAsia="Times New Roman" w:cs="Arial"/>
                <w:color w:val="000000"/>
                <w:sz w:val="20"/>
                <w:szCs w:val="20"/>
                <w:lang w:eastAsia="en-AU"/>
              </w:rPr>
              <w:t>000</w:t>
            </w:r>
          </w:p>
        </w:tc>
      </w:tr>
      <w:tr w:rsidR="00A2470A" w:rsidRPr="005934A1" w14:paraId="01BB1168" w14:textId="77777777" w:rsidTr="00A2470A">
        <w:trPr>
          <w:trHeight w:val="244"/>
        </w:trPr>
        <w:tc>
          <w:tcPr>
            <w:tcW w:w="1009" w:type="dxa"/>
            <w:tcBorders>
              <w:top w:val="nil"/>
              <w:left w:val="single" w:sz="8" w:space="0" w:color="auto"/>
              <w:bottom w:val="single" w:sz="4" w:space="0" w:color="auto"/>
              <w:right w:val="nil"/>
            </w:tcBorders>
            <w:shd w:val="clear" w:color="auto" w:fill="auto"/>
            <w:noWrap/>
            <w:vAlign w:val="bottom"/>
            <w:hideMark/>
          </w:tcPr>
          <w:p w14:paraId="08407DF5"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2027</w:t>
            </w:r>
          </w:p>
        </w:tc>
        <w:tc>
          <w:tcPr>
            <w:tcW w:w="1455" w:type="dxa"/>
            <w:tcBorders>
              <w:top w:val="nil"/>
              <w:left w:val="single" w:sz="8" w:space="0" w:color="auto"/>
              <w:bottom w:val="single" w:sz="4" w:space="0" w:color="auto"/>
              <w:right w:val="single" w:sz="4" w:space="0" w:color="auto"/>
            </w:tcBorders>
            <w:shd w:val="clear" w:color="auto" w:fill="auto"/>
            <w:noWrap/>
            <w:vAlign w:val="bottom"/>
            <w:hideMark/>
          </w:tcPr>
          <w:p w14:paraId="2D2CCFE2"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28,765,734</w:t>
            </w:r>
          </w:p>
        </w:tc>
        <w:tc>
          <w:tcPr>
            <w:tcW w:w="2184" w:type="dxa"/>
            <w:tcBorders>
              <w:top w:val="nil"/>
              <w:left w:val="nil"/>
              <w:bottom w:val="single" w:sz="4" w:space="0" w:color="auto"/>
              <w:right w:val="single" w:sz="4" w:space="0" w:color="auto"/>
            </w:tcBorders>
            <w:shd w:val="clear" w:color="auto" w:fill="auto"/>
            <w:noWrap/>
            <w:vAlign w:val="center"/>
            <w:hideMark/>
          </w:tcPr>
          <w:p w14:paraId="2B2FED91"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0.005050</w:t>
            </w:r>
          </w:p>
        </w:tc>
        <w:tc>
          <w:tcPr>
            <w:tcW w:w="1311" w:type="dxa"/>
            <w:tcBorders>
              <w:top w:val="nil"/>
              <w:left w:val="nil"/>
              <w:bottom w:val="single" w:sz="4" w:space="0" w:color="auto"/>
              <w:right w:val="single" w:sz="4" w:space="0" w:color="auto"/>
            </w:tcBorders>
            <w:shd w:val="clear" w:color="auto" w:fill="auto"/>
            <w:noWrap/>
            <w:hideMark/>
          </w:tcPr>
          <w:p w14:paraId="68B98CB2"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1.45</w:t>
            </w:r>
          </w:p>
        </w:tc>
        <w:tc>
          <w:tcPr>
            <w:tcW w:w="3196" w:type="dxa"/>
            <w:tcBorders>
              <w:top w:val="nil"/>
              <w:left w:val="nil"/>
              <w:bottom w:val="single" w:sz="4" w:space="0" w:color="auto"/>
              <w:right w:val="single" w:sz="8" w:space="0" w:color="auto"/>
            </w:tcBorders>
            <w:shd w:val="clear" w:color="auto" w:fill="auto"/>
            <w:noWrap/>
            <w:vAlign w:val="center"/>
            <w:hideMark/>
          </w:tcPr>
          <w:p w14:paraId="31576B45"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 xml:space="preserve">$                            </w:t>
            </w:r>
            <w:r w:rsidRPr="00D10A91">
              <w:rPr>
                <w:rFonts w:eastAsia="Times New Roman" w:cs="Arial"/>
                <w:color w:val="000000"/>
                <w:sz w:val="20"/>
                <w:szCs w:val="20"/>
                <w:lang w:eastAsia="en-AU"/>
              </w:rPr>
              <w:t xml:space="preserve"> 7,685,000</w:t>
            </w:r>
          </w:p>
        </w:tc>
      </w:tr>
      <w:tr w:rsidR="00A2470A" w:rsidRPr="005934A1" w14:paraId="24B8051B" w14:textId="77777777" w:rsidTr="00A2470A">
        <w:trPr>
          <w:trHeight w:val="244"/>
        </w:trPr>
        <w:tc>
          <w:tcPr>
            <w:tcW w:w="1009" w:type="dxa"/>
            <w:tcBorders>
              <w:top w:val="nil"/>
              <w:left w:val="single" w:sz="8" w:space="0" w:color="auto"/>
              <w:bottom w:val="single" w:sz="4" w:space="0" w:color="auto"/>
              <w:right w:val="nil"/>
            </w:tcBorders>
            <w:shd w:val="clear" w:color="auto" w:fill="auto"/>
            <w:noWrap/>
            <w:vAlign w:val="bottom"/>
            <w:hideMark/>
          </w:tcPr>
          <w:p w14:paraId="0097865F"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2028</w:t>
            </w:r>
          </w:p>
        </w:tc>
        <w:tc>
          <w:tcPr>
            <w:tcW w:w="1455" w:type="dxa"/>
            <w:tcBorders>
              <w:top w:val="nil"/>
              <w:left w:val="single" w:sz="8" w:space="0" w:color="auto"/>
              <w:bottom w:val="single" w:sz="4" w:space="0" w:color="auto"/>
              <w:right w:val="single" w:sz="4" w:space="0" w:color="auto"/>
            </w:tcBorders>
            <w:shd w:val="clear" w:color="auto" w:fill="auto"/>
            <w:noWrap/>
            <w:vAlign w:val="bottom"/>
            <w:hideMark/>
          </w:tcPr>
          <w:p w14:paraId="500A97D8"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29,157,085</w:t>
            </w:r>
          </w:p>
        </w:tc>
        <w:tc>
          <w:tcPr>
            <w:tcW w:w="2184" w:type="dxa"/>
            <w:tcBorders>
              <w:top w:val="nil"/>
              <w:left w:val="nil"/>
              <w:bottom w:val="single" w:sz="4" w:space="0" w:color="auto"/>
              <w:right w:val="single" w:sz="4" w:space="0" w:color="auto"/>
            </w:tcBorders>
            <w:shd w:val="clear" w:color="auto" w:fill="auto"/>
            <w:noWrap/>
            <w:vAlign w:val="center"/>
            <w:hideMark/>
          </w:tcPr>
          <w:p w14:paraId="4170262F"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0.005050</w:t>
            </w:r>
          </w:p>
        </w:tc>
        <w:tc>
          <w:tcPr>
            <w:tcW w:w="1311" w:type="dxa"/>
            <w:tcBorders>
              <w:top w:val="nil"/>
              <w:left w:val="nil"/>
              <w:bottom w:val="single" w:sz="4" w:space="0" w:color="auto"/>
              <w:right w:val="single" w:sz="4" w:space="0" w:color="auto"/>
            </w:tcBorders>
            <w:shd w:val="clear" w:color="auto" w:fill="auto"/>
            <w:noWrap/>
            <w:hideMark/>
          </w:tcPr>
          <w:p w14:paraId="0675B551"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1.47</w:t>
            </w:r>
          </w:p>
        </w:tc>
        <w:tc>
          <w:tcPr>
            <w:tcW w:w="3196" w:type="dxa"/>
            <w:tcBorders>
              <w:top w:val="nil"/>
              <w:left w:val="nil"/>
              <w:bottom w:val="single" w:sz="4" w:space="0" w:color="auto"/>
              <w:right w:val="single" w:sz="8" w:space="0" w:color="auto"/>
            </w:tcBorders>
            <w:shd w:val="clear" w:color="auto" w:fill="auto"/>
            <w:noWrap/>
            <w:vAlign w:val="center"/>
            <w:hideMark/>
          </w:tcPr>
          <w:p w14:paraId="6CB9888A"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 xml:space="preserve">$                            </w:t>
            </w:r>
            <w:r w:rsidRPr="00D10A91">
              <w:rPr>
                <w:rFonts w:eastAsia="Times New Roman" w:cs="Arial"/>
                <w:color w:val="000000"/>
                <w:sz w:val="20"/>
                <w:szCs w:val="20"/>
                <w:lang w:eastAsia="en-AU"/>
              </w:rPr>
              <w:t xml:space="preserve"> 7,791,000</w:t>
            </w:r>
          </w:p>
        </w:tc>
      </w:tr>
      <w:tr w:rsidR="00A2470A" w:rsidRPr="005934A1" w14:paraId="2A62B607" w14:textId="77777777" w:rsidTr="00A2470A">
        <w:trPr>
          <w:trHeight w:val="244"/>
        </w:trPr>
        <w:tc>
          <w:tcPr>
            <w:tcW w:w="1009" w:type="dxa"/>
            <w:tcBorders>
              <w:top w:val="nil"/>
              <w:left w:val="single" w:sz="8" w:space="0" w:color="auto"/>
              <w:bottom w:val="single" w:sz="4" w:space="0" w:color="auto"/>
              <w:right w:val="nil"/>
            </w:tcBorders>
            <w:shd w:val="clear" w:color="auto" w:fill="auto"/>
            <w:noWrap/>
            <w:vAlign w:val="bottom"/>
            <w:hideMark/>
          </w:tcPr>
          <w:p w14:paraId="42A890BC"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2029</w:t>
            </w:r>
          </w:p>
        </w:tc>
        <w:tc>
          <w:tcPr>
            <w:tcW w:w="1455" w:type="dxa"/>
            <w:tcBorders>
              <w:top w:val="nil"/>
              <w:left w:val="single" w:sz="8" w:space="0" w:color="auto"/>
              <w:bottom w:val="single" w:sz="4" w:space="0" w:color="auto"/>
              <w:right w:val="single" w:sz="4" w:space="0" w:color="auto"/>
            </w:tcBorders>
            <w:shd w:val="clear" w:color="auto" w:fill="auto"/>
            <w:noWrap/>
            <w:vAlign w:val="bottom"/>
            <w:hideMark/>
          </w:tcPr>
          <w:p w14:paraId="57C5516A"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29,545,877</w:t>
            </w:r>
          </w:p>
        </w:tc>
        <w:tc>
          <w:tcPr>
            <w:tcW w:w="2184" w:type="dxa"/>
            <w:tcBorders>
              <w:top w:val="nil"/>
              <w:left w:val="nil"/>
              <w:bottom w:val="single" w:sz="4" w:space="0" w:color="auto"/>
              <w:right w:val="single" w:sz="4" w:space="0" w:color="auto"/>
            </w:tcBorders>
            <w:shd w:val="clear" w:color="auto" w:fill="auto"/>
            <w:noWrap/>
            <w:vAlign w:val="center"/>
            <w:hideMark/>
          </w:tcPr>
          <w:p w14:paraId="47D13689"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0.005050</w:t>
            </w:r>
          </w:p>
        </w:tc>
        <w:tc>
          <w:tcPr>
            <w:tcW w:w="1311" w:type="dxa"/>
            <w:tcBorders>
              <w:top w:val="nil"/>
              <w:left w:val="nil"/>
              <w:bottom w:val="single" w:sz="4" w:space="0" w:color="auto"/>
              <w:right w:val="single" w:sz="4" w:space="0" w:color="auto"/>
            </w:tcBorders>
            <w:shd w:val="clear" w:color="auto" w:fill="auto"/>
            <w:noWrap/>
            <w:hideMark/>
          </w:tcPr>
          <w:p w14:paraId="4025F63E"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1.49</w:t>
            </w:r>
          </w:p>
        </w:tc>
        <w:tc>
          <w:tcPr>
            <w:tcW w:w="3196" w:type="dxa"/>
            <w:tcBorders>
              <w:top w:val="nil"/>
              <w:left w:val="nil"/>
              <w:bottom w:val="single" w:sz="4" w:space="0" w:color="auto"/>
              <w:right w:val="single" w:sz="8" w:space="0" w:color="auto"/>
            </w:tcBorders>
            <w:shd w:val="clear" w:color="auto" w:fill="auto"/>
            <w:noWrap/>
            <w:vAlign w:val="center"/>
            <w:hideMark/>
          </w:tcPr>
          <w:p w14:paraId="0B648583"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                            7,</w:t>
            </w:r>
            <w:r>
              <w:rPr>
                <w:rFonts w:eastAsia="Times New Roman" w:cs="Arial"/>
                <w:color w:val="000000"/>
                <w:sz w:val="20"/>
                <w:szCs w:val="20"/>
                <w:lang w:eastAsia="en-AU"/>
              </w:rPr>
              <w:t>897,000</w:t>
            </w:r>
          </w:p>
        </w:tc>
      </w:tr>
      <w:tr w:rsidR="00A2470A" w:rsidRPr="005934A1" w14:paraId="1FC25AB3" w14:textId="77777777" w:rsidTr="00A2470A">
        <w:trPr>
          <w:trHeight w:val="244"/>
        </w:trPr>
        <w:tc>
          <w:tcPr>
            <w:tcW w:w="1009" w:type="dxa"/>
            <w:tcBorders>
              <w:top w:val="nil"/>
              <w:left w:val="single" w:sz="8" w:space="0" w:color="auto"/>
              <w:bottom w:val="single" w:sz="4" w:space="0" w:color="auto"/>
              <w:right w:val="nil"/>
            </w:tcBorders>
            <w:shd w:val="clear" w:color="auto" w:fill="auto"/>
            <w:noWrap/>
            <w:vAlign w:val="bottom"/>
            <w:hideMark/>
          </w:tcPr>
          <w:p w14:paraId="27EDF04E"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2030</w:t>
            </w:r>
          </w:p>
        </w:tc>
        <w:tc>
          <w:tcPr>
            <w:tcW w:w="1455" w:type="dxa"/>
            <w:tcBorders>
              <w:top w:val="nil"/>
              <w:left w:val="single" w:sz="8" w:space="0" w:color="auto"/>
              <w:bottom w:val="single" w:sz="4" w:space="0" w:color="auto"/>
              <w:right w:val="single" w:sz="4" w:space="0" w:color="auto"/>
            </w:tcBorders>
            <w:shd w:val="clear" w:color="auto" w:fill="auto"/>
            <w:noWrap/>
            <w:vAlign w:val="bottom"/>
            <w:hideMark/>
          </w:tcPr>
          <w:p w14:paraId="6E2897EE"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29,931,725</w:t>
            </w:r>
          </w:p>
        </w:tc>
        <w:tc>
          <w:tcPr>
            <w:tcW w:w="2184" w:type="dxa"/>
            <w:tcBorders>
              <w:top w:val="nil"/>
              <w:left w:val="nil"/>
              <w:bottom w:val="single" w:sz="4" w:space="0" w:color="auto"/>
              <w:right w:val="single" w:sz="4" w:space="0" w:color="auto"/>
            </w:tcBorders>
            <w:shd w:val="clear" w:color="auto" w:fill="auto"/>
            <w:noWrap/>
            <w:vAlign w:val="center"/>
            <w:hideMark/>
          </w:tcPr>
          <w:p w14:paraId="26597D20"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0.005050</w:t>
            </w:r>
          </w:p>
        </w:tc>
        <w:tc>
          <w:tcPr>
            <w:tcW w:w="1311" w:type="dxa"/>
            <w:tcBorders>
              <w:top w:val="nil"/>
              <w:left w:val="nil"/>
              <w:bottom w:val="single" w:sz="4" w:space="0" w:color="auto"/>
              <w:right w:val="single" w:sz="4" w:space="0" w:color="auto"/>
            </w:tcBorders>
            <w:shd w:val="clear" w:color="auto" w:fill="auto"/>
            <w:noWrap/>
            <w:hideMark/>
          </w:tcPr>
          <w:p w14:paraId="5221EB3F"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1.51</w:t>
            </w:r>
          </w:p>
        </w:tc>
        <w:tc>
          <w:tcPr>
            <w:tcW w:w="3196" w:type="dxa"/>
            <w:tcBorders>
              <w:top w:val="nil"/>
              <w:left w:val="nil"/>
              <w:bottom w:val="single" w:sz="4" w:space="0" w:color="auto"/>
              <w:right w:val="single" w:sz="8" w:space="0" w:color="auto"/>
            </w:tcBorders>
            <w:shd w:val="clear" w:color="auto" w:fill="auto"/>
            <w:noWrap/>
            <w:vAlign w:val="center"/>
            <w:hideMark/>
          </w:tcPr>
          <w:p w14:paraId="7A4AB9AF"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 xml:space="preserve">$                            </w:t>
            </w:r>
            <w:r>
              <w:rPr>
                <w:rFonts w:eastAsia="Times New Roman" w:cs="Arial"/>
                <w:color w:val="000000"/>
                <w:sz w:val="20"/>
                <w:szCs w:val="20"/>
                <w:lang w:eastAsia="en-AU"/>
              </w:rPr>
              <w:t>8,003,000</w:t>
            </w:r>
          </w:p>
        </w:tc>
      </w:tr>
      <w:tr w:rsidR="00A2470A" w:rsidRPr="005934A1" w14:paraId="56800356" w14:textId="77777777" w:rsidTr="00A2470A">
        <w:trPr>
          <w:trHeight w:val="244"/>
        </w:trPr>
        <w:tc>
          <w:tcPr>
            <w:tcW w:w="1009" w:type="dxa"/>
            <w:tcBorders>
              <w:top w:val="nil"/>
              <w:left w:val="single" w:sz="8" w:space="0" w:color="auto"/>
              <w:bottom w:val="single" w:sz="4" w:space="0" w:color="auto"/>
              <w:right w:val="nil"/>
            </w:tcBorders>
            <w:shd w:val="clear" w:color="auto" w:fill="auto"/>
            <w:noWrap/>
            <w:vAlign w:val="bottom"/>
            <w:hideMark/>
          </w:tcPr>
          <w:p w14:paraId="7E1E3CB2"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2031</w:t>
            </w:r>
          </w:p>
        </w:tc>
        <w:tc>
          <w:tcPr>
            <w:tcW w:w="1455" w:type="dxa"/>
            <w:tcBorders>
              <w:top w:val="nil"/>
              <w:left w:val="single" w:sz="8" w:space="0" w:color="auto"/>
              <w:bottom w:val="single" w:sz="4" w:space="0" w:color="auto"/>
              <w:right w:val="single" w:sz="4" w:space="0" w:color="auto"/>
            </w:tcBorders>
            <w:shd w:val="clear" w:color="auto" w:fill="auto"/>
            <w:noWrap/>
            <w:vAlign w:val="bottom"/>
            <w:hideMark/>
          </w:tcPr>
          <w:p w14:paraId="690B774A"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30,314,335</w:t>
            </w:r>
          </w:p>
        </w:tc>
        <w:tc>
          <w:tcPr>
            <w:tcW w:w="2184" w:type="dxa"/>
            <w:tcBorders>
              <w:top w:val="nil"/>
              <w:left w:val="nil"/>
              <w:bottom w:val="single" w:sz="4" w:space="0" w:color="auto"/>
              <w:right w:val="single" w:sz="4" w:space="0" w:color="auto"/>
            </w:tcBorders>
            <w:shd w:val="clear" w:color="auto" w:fill="auto"/>
            <w:noWrap/>
            <w:vAlign w:val="center"/>
            <w:hideMark/>
          </w:tcPr>
          <w:p w14:paraId="77EC512F"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0.005050</w:t>
            </w:r>
          </w:p>
        </w:tc>
        <w:tc>
          <w:tcPr>
            <w:tcW w:w="1311" w:type="dxa"/>
            <w:tcBorders>
              <w:top w:val="nil"/>
              <w:left w:val="nil"/>
              <w:bottom w:val="single" w:sz="4" w:space="0" w:color="auto"/>
              <w:right w:val="single" w:sz="4" w:space="0" w:color="auto"/>
            </w:tcBorders>
            <w:shd w:val="clear" w:color="auto" w:fill="auto"/>
            <w:noWrap/>
            <w:hideMark/>
          </w:tcPr>
          <w:p w14:paraId="3FF36937"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1.53</w:t>
            </w:r>
          </w:p>
        </w:tc>
        <w:tc>
          <w:tcPr>
            <w:tcW w:w="3196" w:type="dxa"/>
            <w:tcBorders>
              <w:top w:val="nil"/>
              <w:left w:val="nil"/>
              <w:bottom w:val="single" w:sz="4" w:space="0" w:color="auto"/>
              <w:right w:val="single" w:sz="8" w:space="0" w:color="auto"/>
            </w:tcBorders>
            <w:shd w:val="clear" w:color="auto" w:fill="auto"/>
            <w:noWrap/>
            <w:vAlign w:val="center"/>
            <w:hideMark/>
          </w:tcPr>
          <w:p w14:paraId="7818479B" w14:textId="77777777" w:rsidR="00A2470A" w:rsidRPr="005934A1" w:rsidRDefault="00A2470A" w:rsidP="00A2470A">
            <w:pPr>
              <w:spacing w:before="120"/>
              <w:jc w:val="center"/>
              <w:rPr>
                <w:rFonts w:eastAsia="Times New Roman" w:cs="Arial"/>
                <w:color w:val="000000"/>
                <w:sz w:val="20"/>
                <w:szCs w:val="20"/>
                <w:lang w:eastAsia="en-AU"/>
              </w:rPr>
            </w:pPr>
            <w:r w:rsidRPr="005934A1">
              <w:rPr>
                <w:rFonts w:eastAsia="Times New Roman" w:cs="Arial"/>
                <w:color w:val="000000"/>
                <w:sz w:val="20"/>
                <w:szCs w:val="20"/>
                <w:lang w:eastAsia="en-AU"/>
              </w:rPr>
              <w:t xml:space="preserve">$                            </w:t>
            </w:r>
            <w:r>
              <w:rPr>
                <w:rFonts w:eastAsia="Times New Roman" w:cs="Arial"/>
                <w:color w:val="000000"/>
                <w:sz w:val="20"/>
                <w:szCs w:val="20"/>
                <w:lang w:eastAsia="en-AU"/>
              </w:rPr>
              <w:t>8,109,000</w:t>
            </w:r>
          </w:p>
        </w:tc>
      </w:tr>
      <w:tr w:rsidR="00A2470A" w:rsidRPr="005934A1" w14:paraId="71962D43" w14:textId="77777777" w:rsidTr="00A2470A">
        <w:trPr>
          <w:trHeight w:val="72"/>
        </w:trPr>
        <w:tc>
          <w:tcPr>
            <w:tcW w:w="1009" w:type="dxa"/>
            <w:tcBorders>
              <w:top w:val="nil"/>
              <w:left w:val="single" w:sz="8" w:space="0" w:color="auto"/>
              <w:bottom w:val="single" w:sz="4" w:space="0" w:color="auto"/>
              <w:right w:val="nil"/>
            </w:tcBorders>
            <w:shd w:val="clear" w:color="auto" w:fill="auto"/>
            <w:noWrap/>
            <w:vAlign w:val="bottom"/>
            <w:hideMark/>
          </w:tcPr>
          <w:p w14:paraId="080CE82A" w14:textId="77777777" w:rsidR="00A2470A" w:rsidRPr="005934A1" w:rsidRDefault="00A2470A" w:rsidP="00A2470A">
            <w:pPr>
              <w:spacing w:before="120"/>
              <w:jc w:val="center"/>
              <w:rPr>
                <w:rFonts w:eastAsia="Times New Roman" w:cs="Arial"/>
                <w:color w:val="000000"/>
                <w:sz w:val="20"/>
                <w:szCs w:val="20"/>
                <w:lang w:eastAsia="en-AU"/>
              </w:rPr>
            </w:pPr>
          </w:p>
        </w:tc>
        <w:tc>
          <w:tcPr>
            <w:tcW w:w="1455" w:type="dxa"/>
            <w:tcBorders>
              <w:top w:val="nil"/>
              <w:left w:val="single" w:sz="8" w:space="0" w:color="auto"/>
              <w:bottom w:val="single" w:sz="4" w:space="0" w:color="auto"/>
              <w:right w:val="nil"/>
            </w:tcBorders>
            <w:shd w:val="clear" w:color="auto" w:fill="auto"/>
            <w:noWrap/>
            <w:vAlign w:val="center"/>
            <w:hideMark/>
          </w:tcPr>
          <w:p w14:paraId="723358A4" w14:textId="77777777" w:rsidR="00A2470A" w:rsidRPr="005934A1" w:rsidRDefault="00A2470A" w:rsidP="00A2470A">
            <w:pPr>
              <w:spacing w:before="120"/>
              <w:jc w:val="center"/>
              <w:rPr>
                <w:rFonts w:eastAsia="Times New Roman" w:cs="Arial"/>
                <w:color w:val="000000"/>
                <w:sz w:val="20"/>
                <w:szCs w:val="20"/>
                <w:lang w:eastAsia="en-AU"/>
              </w:rPr>
            </w:pPr>
          </w:p>
        </w:tc>
        <w:tc>
          <w:tcPr>
            <w:tcW w:w="2184" w:type="dxa"/>
            <w:tcBorders>
              <w:top w:val="nil"/>
              <w:left w:val="single" w:sz="4" w:space="0" w:color="auto"/>
              <w:bottom w:val="single" w:sz="4" w:space="0" w:color="auto"/>
              <w:right w:val="single" w:sz="4" w:space="0" w:color="auto"/>
            </w:tcBorders>
            <w:shd w:val="clear" w:color="auto" w:fill="auto"/>
            <w:noWrap/>
            <w:vAlign w:val="center"/>
            <w:hideMark/>
          </w:tcPr>
          <w:p w14:paraId="36DC6D10" w14:textId="77777777" w:rsidR="00A2470A" w:rsidRPr="005934A1" w:rsidRDefault="00A2470A" w:rsidP="00A2470A">
            <w:pPr>
              <w:spacing w:before="120"/>
              <w:jc w:val="center"/>
              <w:rPr>
                <w:rFonts w:eastAsia="Times New Roman" w:cs="Arial"/>
                <w:color w:val="000000"/>
                <w:sz w:val="20"/>
                <w:szCs w:val="20"/>
                <w:lang w:eastAsia="en-AU"/>
              </w:rPr>
            </w:pPr>
          </w:p>
        </w:tc>
        <w:tc>
          <w:tcPr>
            <w:tcW w:w="1311" w:type="dxa"/>
            <w:tcBorders>
              <w:top w:val="nil"/>
              <w:left w:val="nil"/>
              <w:bottom w:val="double" w:sz="6" w:space="0" w:color="auto"/>
              <w:right w:val="single" w:sz="4" w:space="0" w:color="auto"/>
            </w:tcBorders>
            <w:shd w:val="clear" w:color="auto" w:fill="auto"/>
            <w:noWrap/>
            <w:vAlign w:val="center"/>
            <w:hideMark/>
          </w:tcPr>
          <w:p w14:paraId="4150BE6D" w14:textId="77777777" w:rsidR="00A2470A" w:rsidRPr="005934A1" w:rsidRDefault="00A2470A" w:rsidP="00A2470A">
            <w:pPr>
              <w:spacing w:before="120"/>
              <w:jc w:val="center"/>
              <w:rPr>
                <w:rFonts w:eastAsia="Times New Roman" w:cs="Arial"/>
                <w:b/>
                <w:bCs/>
                <w:color w:val="000000"/>
                <w:sz w:val="20"/>
                <w:szCs w:val="20"/>
                <w:lang w:eastAsia="en-AU"/>
              </w:rPr>
            </w:pPr>
            <w:r w:rsidRPr="005934A1">
              <w:rPr>
                <w:rFonts w:eastAsia="Times New Roman" w:cs="Arial"/>
                <w:b/>
                <w:bCs/>
                <w:color w:val="000000"/>
                <w:sz w:val="20"/>
                <w:szCs w:val="20"/>
                <w:lang w:eastAsia="en-AU"/>
              </w:rPr>
              <w:t>14</w:t>
            </w:r>
          </w:p>
        </w:tc>
        <w:tc>
          <w:tcPr>
            <w:tcW w:w="3196" w:type="dxa"/>
            <w:tcBorders>
              <w:top w:val="nil"/>
              <w:left w:val="nil"/>
              <w:bottom w:val="double" w:sz="6" w:space="0" w:color="auto"/>
              <w:right w:val="single" w:sz="8" w:space="0" w:color="auto"/>
            </w:tcBorders>
            <w:shd w:val="clear" w:color="auto" w:fill="auto"/>
            <w:noWrap/>
            <w:vAlign w:val="center"/>
            <w:hideMark/>
          </w:tcPr>
          <w:p w14:paraId="51A63D9A" w14:textId="77777777" w:rsidR="00A2470A" w:rsidRPr="005934A1" w:rsidRDefault="00A2470A" w:rsidP="00A2470A">
            <w:pPr>
              <w:spacing w:before="120"/>
              <w:jc w:val="center"/>
              <w:rPr>
                <w:rFonts w:eastAsia="Times New Roman" w:cs="Arial"/>
                <w:b/>
                <w:bCs/>
                <w:color w:val="000000"/>
                <w:sz w:val="20"/>
                <w:szCs w:val="20"/>
                <w:lang w:eastAsia="en-AU"/>
              </w:rPr>
            </w:pPr>
            <w:r w:rsidRPr="005934A1">
              <w:rPr>
                <w:rFonts w:eastAsia="Times New Roman" w:cs="Arial"/>
                <w:b/>
                <w:bCs/>
                <w:color w:val="000000"/>
                <w:sz w:val="20"/>
                <w:szCs w:val="20"/>
                <w:lang w:eastAsia="en-AU"/>
              </w:rPr>
              <w:t xml:space="preserve">$                         </w:t>
            </w:r>
            <w:r w:rsidRPr="00D10A91">
              <w:rPr>
                <w:rFonts w:eastAsia="Times New Roman" w:cs="Arial"/>
                <w:b/>
                <w:bCs/>
                <w:color w:val="000000"/>
                <w:sz w:val="20"/>
                <w:szCs w:val="20"/>
                <w:lang w:eastAsia="en-AU"/>
              </w:rPr>
              <w:t xml:space="preserve"> 76,320,000</w:t>
            </w:r>
          </w:p>
        </w:tc>
      </w:tr>
    </w:tbl>
    <w:p w14:paraId="295347E5" w14:textId="77777777" w:rsidR="00A2470A" w:rsidRPr="005934A1" w:rsidRDefault="00A2470A" w:rsidP="00A2470A">
      <w:pPr>
        <w:spacing w:before="120"/>
        <w:ind w:left="360"/>
      </w:pPr>
    </w:p>
    <w:p w14:paraId="7AF9ED09" w14:textId="77777777" w:rsidR="00A2470A" w:rsidRPr="004F3F77" w:rsidRDefault="00A2470A" w:rsidP="00A2470A">
      <w:pPr>
        <w:pStyle w:val="Heading2"/>
        <w:spacing w:before="120"/>
      </w:pPr>
      <w:bookmarkStart w:id="324" w:name="_Toc126074117"/>
      <w:r w:rsidRPr="004F3F77">
        <w:t>Total costs of fatalities and injuries</w:t>
      </w:r>
      <w:bookmarkEnd w:id="324"/>
    </w:p>
    <w:p w14:paraId="61077218" w14:textId="158B797A" w:rsidR="00A2470A" w:rsidRPr="00B67554" w:rsidRDefault="00A2470A" w:rsidP="00A2470A">
      <w:pPr>
        <w:spacing w:before="120"/>
        <w:rPr>
          <w:rFonts w:eastAsia="Times New Roman" w:cs="Arial"/>
          <w:color w:val="000000"/>
          <w:lang w:eastAsia="en-AU"/>
        </w:rPr>
      </w:pPr>
      <w:r w:rsidRPr="0040388D">
        <w:t xml:space="preserve">The estimated cost of fatalities and injuries caused by toppling furniture for 2022 is </w:t>
      </w:r>
      <w:r w:rsidR="00EB61DB">
        <w:t>around</w:t>
      </w:r>
      <w:r w:rsidRPr="00B67554">
        <w:rPr>
          <w:rFonts w:eastAsia="Times New Roman" w:cs="Arial"/>
          <w:color w:val="000000"/>
          <w:lang w:eastAsia="en-AU"/>
        </w:rPr>
        <w:t xml:space="preserve"> </w:t>
      </w:r>
      <w:r>
        <w:rPr>
          <w:rFonts w:eastAsia="Times New Roman" w:cs="Arial"/>
          <w:color w:val="000000"/>
          <w:lang w:eastAsia="en-AU"/>
        </w:rPr>
        <w:t>$8</w:t>
      </w:r>
      <w:r w:rsidRPr="00B67554">
        <w:rPr>
          <w:rFonts w:eastAsia="Times New Roman" w:cs="Arial"/>
          <w:color w:val="000000"/>
          <w:lang w:eastAsia="en-AU"/>
        </w:rPr>
        <w:t xml:space="preserve"> million (2022 dollars).</w:t>
      </w:r>
    </w:p>
    <w:p w14:paraId="75B0FE6C" w14:textId="237E1F3F" w:rsidR="00A2470A" w:rsidRDefault="00564501" w:rsidP="00A2470A">
      <w:pPr>
        <w:spacing w:before="120"/>
      </w:pPr>
      <w:r>
        <w:t>T</w:t>
      </w:r>
      <w:r w:rsidR="00A2470A">
        <w:t xml:space="preserve">his a conservative estimate, which cannot adequately cover the full impact of fatalities and injuries, particularly those sustained by the most vulnerable in our society. </w:t>
      </w:r>
      <w:r w:rsidR="008C65CE">
        <w:t xml:space="preserve">The estimate </w:t>
      </w:r>
      <w:r w:rsidR="00A2470A">
        <w:t xml:space="preserve">only considers injuries </w:t>
      </w:r>
      <w:r w:rsidR="008C65CE">
        <w:t xml:space="preserve">presented to an ED and </w:t>
      </w:r>
      <w:r w:rsidR="00A2470A">
        <w:t>appropriately recorded</w:t>
      </w:r>
      <w:r w:rsidR="008C65CE">
        <w:t xml:space="preserve"> (it would not cover consultations with </w:t>
      </w:r>
      <w:r w:rsidR="00A2470A">
        <w:t>private physician</w:t>
      </w:r>
      <w:r w:rsidR="008C65CE">
        <w:t>s)</w:t>
      </w:r>
      <w:r w:rsidR="00A2470A">
        <w:t xml:space="preserve">. </w:t>
      </w:r>
    </w:p>
    <w:p w14:paraId="221D712B" w14:textId="7E569DD4" w:rsidR="00485CC9" w:rsidRDefault="008C65CE" w:rsidP="00A2470A">
      <w:pPr>
        <w:spacing w:before="120"/>
      </w:pPr>
      <w:r>
        <w:t>Further</w:t>
      </w:r>
      <w:r w:rsidR="00A2470A">
        <w:t xml:space="preserve">, the estimate does not include </w:t>
      </w:r>
      <w:r w:rsidR="008407A1">
        <w:t xml:space="preserve">emotional </w:t>
      </w:r>
      <w:r w:rsidR="00A2470A">
        <w:t>costs including the pain and suffering of family and friends, emergency workers and affected communities.</w:t>
      </w:r>
      <w:r w:rsidR="008407A1">
        <w:t xml:space="preserve"> </w:t>
      </w:r>
      <w:r w:rsidR="00E5184B">
        <w:t>The ACCC recognises that the</w:t>
      </w:r>
      <w:r w:rsidR="008407A1">
        <w:t xml:space="preserve"> death or serious injury of a child </w:t>
      </w:r>
      <w:r w:rsidR="00E5184B">
        <w:t>(or other victim)</w:t>
      </w:r>
      <w:r w:rsidR="008407A1">
        <w:t xml:space="preserve"> would have a devastating and ongoing impact </w:t>
      </w:r>
      <w:r w:rsidR="00E5184B">
        <w:t xml:space="preserve">to those around them. </w:t>
      </w:r>
    </w:p>
    <w:p w14:paraId="0049A371" w14:textId="77777777" w:rsidR="00485CC9" w:rsidRDefault="00485CC9">
      <w:r>
        <w:br w:type="page"/>
      </w:r>
    </w:p>
    <w:p w14:paraId="5B8D14EB" w14:textId="48E6823E" w:rsidR="00CC689E" w:rsidRDefault="00CC689E" w:rsidP="00F05000">
      <w:pPr>
        <w:pStyle w:val="Heading1"/>
        <w:spacing w:before="120"/>
      </w:pPr>
      <w:bookmarkStart w:id="325" w:name="_Toc126074118"/>
      <w:r>
        <w:t>Who we consulted and what they said</w:t>
      </w:r>
      <w:bookmarkEnd w:id="325"/>
    </w:p>
    <w:p w14:paraId="04B0BAE9" w14:textId="5A944028" w:rsidR="00C360AD" w:rsidRDefault="00C360AD" w:rsidP="00F05000">
      <w:pPr>
        <w:pStyle w:val="Heading2"/>
        <w:numPr>
          <w:ilvl w:val="0"/>
          <w:numId w:val="0"/>
        </w:numPr>
        <w:spacing w:before="120"/>
        <w:ind w:left="576" w:hanging="576"/>
      </w:pPr>
      <w:bookmarkStart w:id="326" w:name="_Toc126074119"/>
      <w:r>
        <w:t>Key points</w:t>
      </w:r>
      <w:bookmarkEnd w:id="326"/>
    </w:p>
    <w:p w14:paraId="0AFF2303" w14:textId="519AC033" w:rsidR="00C360AD" w:rsidRDefault="00C360AD" w:rsidP="00806096">
      <w:pPr>
        <w:pStyle w:val="ListParagraph"/>
        <w:numPr>
          <w:ilvl w:val="0"/>
          <w:numId w:val="47"/>
        </w:numPr>
      </w:pPr>
      <w:r w:rsidRPr="002900B1">
        <w:t xml:space="preserve">The ACCC received </w:t>
      </w:r>
      <w:r w:rsidR="00CC0CB2">
        <w:t>6</w:t>
      </w:r>
      <w:r w:rsidR="00306F2F">
        <w:t>1</w:t>
      </w:r>
      <w:r>
        <w:t xml:space="preserve"> written submissions from</w:t>
      </w:r>
      <w:r w:rsidR="00306F2F">
        <w:t xml:space="preserve"> 54 stakeholders across</w:t>
      </w:r>
      <w:r>
        <w:t xml:space="preserve"> </w:t>
      </w:r>
      <w:r w:rsidR="000A54E2">
        <w:t>2</w:t>
      </w:r>
      <w:r>
        <w:t xml:space="preserve"> consultations.</w:t>
      </w:r>
    </w:p>
    <w:p w14:paraId="78EEDD90" w14:textId="4F146C4B" w:rsidR="00C360AD" w:rsidRDefault="00C360AD" w:rsidP="00806096">
      <w:pPr>
        <w:pStyle w:val="ListParagraph"/>
        <w:numPr>
          <w:ilvl w:val="0"/>
          <w:numId w:val="47"/>
        </w:numPr>
      </w:pPr>
      <w:r>
        <w:t xml:space="preserve">All stakeholders agreed that </w:t>
      </w:r>
      <w:r w:rsidR="0069323D">
        <w:t xml:space="preserve">some </w:t>
      </w:r>
      <w:r>
        <w:t>action needed to be taken to reduce toppling furniture</w:t>
      </w:r>
      <w:r w:rsidR="005A59C2">
        <w:t xml:space="preserve"> incidents.</w:t>
      </w:r>
    </w:p>
    <w:p w14:paraId="7EB6D558" w14:textId="5602A772" w:rsidR="00C360AD" w:rsidRDefault="008D1C7E" w:rsidP="00806096">
      <w:pPr>
        <w:pStyle w:val="ListParagraph"/>
        <w:numPr>
          <w:ilvl w:val="0"/>
          <w:numId w:val="47"/>
        </w:numPr>
      </w:pPr>
      <w:r>
        <w:t>2</w:t>
      </w:r>
      <w:r w:rsidR="004E731B">
        <w:t>7</w:t>
      </w:r>
      <w:r>
        <w:t xml:space="preserve"> </w:t>
      </w:r>
      <w:r w:rsidR="00CB7A6E">
        <w:t xml:space="preserve">submissions </w:t>
      </w:r>
      <w:r w:rsidR="00944650">
        <w:t xml:space="preserve">clearly </w:t>
      </w:r>
      <w:r w:rsidR="00C360AD">
        <w:t>supported additional information</w:t>
      </w:r>
      <w:r w:rsidR="00CB7A6E">
        <w:t xml:space="preserve"> be provided to consumers through either labelling, education campaigns, or a combination of both</w:t>
      </w:r>
      <w:r w:rsidR="00C360AD">
        <w:t xml:space="preserve">. </w:t>
      </w:r>
      <w:r w:rsidR="004E731B">
        <w:t>None of the submissions disputed the need for increased consumer awareness of the issue.</w:t>
      </w:r>
    </w:p>
    <w:p w14:paraId="6D49A143" w14:textId="4D11FC77" w:rsidR="00770572" w:rsidRPr="003E552F" w:rsidRDefault="00DD67D3" w:rsidP="00806096">
      <w:pPr>
        <w:pStyle w:val="ListParagraph"/>
        <w:numPr>
          <w:ilvl w:val="0"/>
          <w:numId w:val="47"/>
        </w:numPr>
        <w:tabs>
          <w:tab w:val="left" w:pos="7371"/>
        </w:tabs>
      </w:pPr>
      <w:r>
        <w:t xml:space="preserve"> 6 the stakeholders identified the issue </w:t>
      </w:r>
      <w:r w:rsidR="00A76BD5">
        <w:t xml:space="preserve">that there </w:t>
      </w:r>
      <w:r w:rsidR="00C71D41">
        <w:t xml:space="preserve">was </w:t>
      </w:r>
      <w:r w:rsidR="00E50659" w:rsidRPr="003E552F">
        <w:t xml:space="preserve">no </w:t>
      </w:r>
      <w:r w:rsidR="009273EF">
        <w:t>feasible</w:t>
      </w:r>
      <w:r w:rsidR="009273EF" w:rsidRPr="003E552F">
        <w:t xml:space="preserve"> </w:t>
      </w:r>
      <w:r w:rsidR="00DE6217" w:rsidRPr="003E552F">
        <w:t>voluntary standard for furniture stability</w:t>
      </w:r>
      <w:r w:rsidR="00E50659" w:rsidRPr="003E552F">
        <w:t xml:space="preserve"> to inform the development of a mandatory safety standard</w:t>
      </w:r>
      <w:r w:rsidR="00C360AD" w:rsidRPr="003E552F">
        <w:t xml:space="preserve">. </w:t>
      </w:r>
    </w:p>
    <w:p w14:paraId="65AC3CBA" w14:textId="77777777" w:rsidR="00C360AD" w:rsidRDefault="00C360AD" w:rsidP="00F05000">
      <w:pPr>
        <w:pStyle w:val="Heading2"/>
        <w:spacing w:before="120"/>
      </w:pPr>
      <w:bookmarkStart w:id="327" w:name="_Toc126074120"/>
      <w:r>
        <w:t>Issues paper</w:t>
      </w:r>
      <w:bookmarkEnd w:id="327"/>
    </w:p>
    <w:p w14:paraId="1BA29A8B" w14:textId="439984F1" w:rsidR="00C360AD" w:rsidRDefault="00C360AD" w:rsidP="00F05000">
      <w:pPr>
        <w:spacing w:before="120"/>
      </w:pPr>
      <w:r w:rsidRPr="004F7083">
        <w:t xml:space="preserve">In August 2021, the ACCC published an </w:t>
      </w:r>
      <w:r w:rsidR="00CC0CB2" w:rsidRPr="00F05000">
        <w:rPr>
          <w:rFonts w:cs="Arial"/>
        </w:rPr>
        <w:t>Issues Paper</w:t>
      </w:r>
      <w:r>
        <w:t xml:space="preserve"> </w:t>
      </w:r>
      <w:r w:rsidRPr="004F7083">
        <w:t>which sought stakeholder input on the key issues associated with toppling furniture and televisions.</w:t>
      </w:r>
      <w:r w:rsidR="00CC0CB2">
        <w:rPr>
          <w:rStyle w:val="FootnoteReference"/>
        </w:rPr>
        <w:footnoteReference w:id="29"/>
      </w:r>
      <w:r>
        <w:t xml:space="preserve"> </w:t>
      </w:r>
    </w:p>
    <w:p w14:paraId="480F7A59" w14:textId="77777777" w:rsidR="00C360AD" w:rsidRDefault="00C360AD" w:rsidP="00F05000">
      <w:pPr>
        <w:spacing w:before="120"/>
      </w:pPr>
      <w:r>
        <w:t>Broadly, stakeholders recognised the difficulty in addressing the issue of toppling furniture and expressed support for a regulatory measure. However, stakeholders noted:</w:t>
      </w:r>
    </w:p>
    <w:p w14:paraId="14D5767C" w14:textId="26B293B0" w:rsidR="00C360AD" w:rsidRDefault="00C360AD" w:rsidP="00806096">
      <w:pPr>
        <w:pStyle w:val="ListParagraph"/>
        <w:numPr>
          <w:ilvl w:val="0"/>
          <w:numId w:val="33"/>
        </w:numPr>
      </w:pPr>
      <w:r>
        <w:t>the cost of implementation and compliance should not be overly burdensome</w:t>
      </w:r>
    </w:p>
    <w:p w14:paraId="5C2F37D4" w14:textId="2A3AC5D2" w:rsidR="00C360AD" w:rsidRDefault="00C360AD" w:rsidP="00806096">
      <w:pPr>
        <w:pStyle w:val="ListParagraph"/>
        <w:numPr>
          <w:ilvl w:val="0"/>
          <w:numId w:val="33"/>
        </w:numPr>
      </w:pPr>
      <w:r>
        <w:t>regulation should not limit consumer choice</w:t>
      </w:r>
    </w:p>
    <w:p w14:paraId="1A7DB67B" w14:textId="77777777" w:rsidR="00C360AD" w:rsidRDefault="00C360AD" w:rsidP="00806096">
      <w:pPr>
        <w:pStyle w:val="ListParagraph"/>
        <w:numPr>
          <w:ilvl w:val="0"/>
          <w:numId w:val="33"/>
        </w:numPr>
      </w:pPr>
      <w:r>
        <w:t>compliance with international standards should be considered.</w:t>
      </w:r>
    </w:p>
    <w:p w14:paraId="63CE46D3" w14:textId="51A05EB7" w:rsidR="00C360AD" w:rsidRDefault="00C360AD" w:rsidP="00F05000">
      <w:pPr>
        <w:spacing w:before="120"/>
      </w:pPr>
      <w:r>
        <w:t xml:space="preserve">Feedback from this consultation process informed the decision to limit the scope of the </w:t>
      </w:r>
      <w:r w:rsidR="00A0161F">
        <w:t xml:space="preserve">standard </w:t>
      </w:r>
      <w:r>
        <w:t xml:space="preserve">to storage furniture, excluding televisions and other furniture. </w:t>
      </w:r>
    </w:p>
    <w:p w14:paraId="7B800B0E" w14:textId="2895C07F" w:rsidR="00C360AD" w:rsidRDefault="00C360AD" w:rsidP="00F05000">
      <w:pPr>
        <w:spacing w:before="120"/>
      </w:pPr>
      <w:r>
        <w:t>Stakeholder responses indicated televisions are already required to be tested for mechanical stability compliance and registered on the Electrical Equipment Safety System (EESS) national database prior to sale in Australia.</w:t>
      </w:r>
      <w:r>
        <w:rPr>
          <w:rStyle w:val="FootnoteReference"/>
        </w:rPr>
        <w:footnoteReference w:id="30"/>
      </w:r>
      <w:r>
        <w:t xml:space="preserve"> Registration is contingent on compliance with voluntary standards which address safety requirements for audio/video equipment. This incorporates unique Australian performance and instructional safeguards to address reasonably foreseeable safety risks, including additional instructions for </w:t>
      </w:r>
      <w:r w:rsidR="00D04BDF">
        <w:t>installing</w:t>
      </w:r>
      <w:r>
        <w:t xml:space="preserve"> anchoring devices. </w:t>
      </w:r>
    </w:p>
    <w:p w14:paraId="7A350255" w14:textId="3C262F44" w:rsidR="00C360AD" w:rsidRPr="00BD43C1" w:rsidRDefault="00C360AD" w:rsidP="00F05000">
      <w:pPr>
        <w:spacing w:before="120"/>
      </w:pPr>
      <w:r>
        <w:t xml:space="preserve">There was minimal comment on other furniture types, other than to note some </w:t>
      </w:r>
      <w:r>
        <w:rPr>
          <w:bCs/>
        </w:rPr>
        <w:t>voluntary standards for chairs and tables include developed stability tests. It was also recognised some injuries result from intentional misuse</w:t>
      </w:r>
      <w:r w:rsidR="005A59C2">
        <w:rPr>
          <w:bCs/>
        </w:rPr>
        <w:t>.</w:t>
      </w:r>
    </w:p>
    <w:p w14:paraId="5EA76698" w14:textId="77777777" w:rsidR="00C360AD" w:rsidRDefault="00C360AD" w:rsidP="00F05000">
      <w:pPr>
        <w:pStyle w:val="Heading2"/>
        <w:spacing w:before="120"/>
      </w:pPr>
      <w:bookmarkStart w:id="328" w:name="_Toc126074121"/>
      <w:r>
        <w:t>Consultation RIS</w:t>
      </w:r>
      <w:bookmarkEnd w:id="328"/>
      <w:r>
        <w:t xml:space="preserve"> </w:t>
      </w:r>
    </w:p>
    <w:p w14:paraId="5EE413A4" w14:textId="52FACE18" w:rsidR="00B60E12" w:rsidRDefault="00C360AD" w:rsidP="00F05000">
      <w:pPr>
        <w:spacing w:before="120"/>
      </w:pPr>
      <w:r>
        <w:t>In May 2022, the ACCC published a Consultation RIS inviting public feedback on 5 proposed policy options.</w:t>
      </w:r>
      <w:r w:rsidR="00CC0CB2">
        <w:rPr>
          <w:rStyle w:val="FootnoteReference"/>
        </w:rPr>
        <w:footnoteReference w:id="31"/>
      </w:r>
      <w:r>
        <w:t xml:space="preserve"> These options were informed by responses to the Issues Paper and addressed the key concepts associated with furniture tip-overs: product design, anchoring and consumer education.</w:t>
      </w:r>
      <w:r w:rsidR="00B60E12">
        <w:br/>
      </w:r>
    </w:p>
    <w:p w14:paraId="47666D49" w14:textId="470376FD" w:rsidR="00C360AD" w:rsidRDefault="00C360AD" w:rsidP="00F05000">
      <w:pPr>
        <w:spacing w:before="120"/>
      </w:pPr>
      <w:r>
        <w:t>Options proposed in the Consultation RIS:</w:t>
      </w:r>
    </w:p>
    <w:p w14:paraId="3F7B744B" w14:textId="2BC3C921" w:rsidR="00C360AD" w:rsidRDefault="00C360AD" w:rsidP="00806096">
      <w:pPr>
        <w:pStyle w:val="ListParagraph"/>
        <w:numPr>
          <w:ilvl w:val="0"/>
          <w:numId w:val="45"/>
        </w:numPr>
      </w:pPr>
      <w:r>
        <w:t>Status quo, no change</w:t>
      </w:r>
    </w:p>
    <w:p w14:paraId="7E2934DD" w14:textId="1107C78A" w:rsidR="00C360AD" w:rsidRDefault="00C360AD" w:rsidP="00806096">
      <w:pPr>
        <w:pStyle w:val="ListParagraph"/>
        <w:numPr>
          <w:ilvl w:val="0"/>
          <w:numId w:val="45"/>
        </w:numPr>
      </w:pPr>
      <w:r>
        <w:t>A mandatory safety standard</w:t>
      </w:r>
      <w:r w:rsidR="00500382">
        <w:t xml:space="preserve"> including:</w:t>
      </w:r>
      <w:r>
        <w:t xml:space="preserve"> warning labelling and safety information</w:t>
      </w:r>
      <w:r w:rsidR="00A217EF">
        <w:t xml:space="preserve">, </w:t>
      </w:r>
      <w:r>
        <w:t xml:space="preserve">and anchoring </w:t>
      </w:r>
      <w:r w:rsidR="005051A2">
        <w:t>requirements</w:t>
      </w:r>
    </w:p>
    <w:p w14:paraId="0DDDF767" w14:textId="6B3920A1" w:rsidR="00C360AD" w:rsidRDefault="00C360AD" w:rsidP="00806096">
      <w:pPr>
        <w:pStyle w:val="ListParagraph"/>
        <w:numPr>
          <w:ilvl w:val="0"/>
          <w:numId w:val="45"/>
        </w:numPr>
      </w:pPr>
      <w:r>
        <w:t xml:space="preserve">A </w:t>
      </w:r>
      <w:r w:rsidR="00A217EF">
        <w:t xml:space="preserve">mandatory </w:t>
      </w:r>
      <w:r>
        <w:t>information standard</w:t>
      </w:r>
      <w:r w:rsidR="00A217EF">
        <w:t xml:space="preserve"> including:</w:t>
      </w:r>
      <w:r>
        <w:t xml:space="preserve"> warning labelling and safety information</w:t>
      </w:r>
      <w:r w:rsidR="009F3E49">
        <w:t xml:space="preserve"> at the point of sale in-store and online</w:t>
      </w:r>
    </w:p>
    <w:p w14:paraId="1768DA4D" w14:textId="7FCA11C3" w:rsidR="00C360AD" w:rsidRDefault="00C360AD" w:rsidP="00806096">
      <w:pPr>
        <w:pStyle w:val="ListParagraph"/>
        <w:numPr>
          <w:ilvl w:val="0"/>
          <w:numId w:val="45"/>
        </w:numPr>
      </w:pPr>
      <w:r>
        <w:t>A mandatory safety standard</w:t>
      </w:r>
      <w:r w:rsidR="00A217EF">
        <w:t xml:space="preserve"> including:</w:t>
      </w:r>
      <w:r>
        <w:t xml:space="preserve"> warning labelling</w:t>
      </w:r>
      <w:r w:rsidR="00A217EF">
        <w:t xml:space="preserve"> and</w:t>
      </w:r>
      <w:r>
        <w:t xml:space="preserve"> safety information</w:t>
      </w:r>
      <w:r w:rsidR="00A217EF">
        <w:t>,</w:t>
      </w:r>
      <w:r>
        <w:t xml:space="preserve"> </w:t>
      </w:r>
      <w:r w:rsidR="005051A2">
        <w:t xml:space="preserve">and </w:t>
      </w:r>
      <w:r>
        <w:t xml:space="preserve">stability </w:t>
      </w:r>
      <w:r w:rsidR="005051A2">
        <w:t xml:space="preserve">and anchoring </w:t>
      </w:r>
      <w:r>
        <w:t>requirements</w:t>
      </w:r>
    </w:p>
    <w:p w14:paraId="2C8B7213" w14:textId="77777777" w:rsidR="00C360AD" w:rsidRDefault="00C360AD" w:rsidP="00806096">
      <w:pPr>
        <w:pStyle w:val="ListParagraph"/>
        <w:numPr>
          <w:ilvl w:val="0"/>
          <w:numId w:val="45"/>
        </w:numPr>
      </w:pPr>
      <w:r>
        <w:t>A mandatory safety standard and a mandatory information standard. This would take the form of either:</w:t>
      </w:r>
    </w:p>
    <w:p w14:paraId="7CA3FBEB" w14:textId="6CCF9191" w:rsidR="00C360AD" w:rsidRDefault="00C360AD" w:rsidP="00806096">
      <w:pPr>
        <w:pStyle w:val="ListParagraph"/>
        <w:numPr>
          <w:ilvl w:val="0"/>
          <w:numId w:val="46"/>
        </w:numPr>
      </w:pPr>
      <w:r>
        <w:t>a combination of options 2 and 3</w:t>
      </w:r>
    </w:p>
    <w:p w14:paraId="3A046F57" w14:textId="77777777" w:rsidR="00C360AD" w:rsidRDefault="00C360AD" w:rsidP="00806096">
      <w:pPr>
        <w:pStyle w:val="ListParagraph"/>
        <w:numPr>
          <w:ilvl w:val="0"/>
          <w:numId w:val="46"/>
        </w:numPr>
      </w:pPr>
      <w:r>
        <w:t>a combination of options 3 and 4.</w:t>
      </w:r>
    </w:p>
    <w:p w14:paraId="573037F1" w14:textId="17C8E811" w:rsidR="00C360AD" w:rsidRDefault="00C360AD" w:rsidP="00F05000">
      <w:pPr>
        <w:spacing w:before="120"/>
      </w:pPr>
      <w:r>
        <w:t xml:space="preserve">The consultation was designed to seek a variety of views on the proposed policy options. </w:t>
      </w:r>
    </w:p>
    <w:p w14:paraId="6FDF027F" w14:textId="003BD40E" w:rsidR="00C360AD" w:rsidRDefault="00C360AD" w:rsidP="00F05000">
      <w:pPr>
        <w:spacing w:before="120"/>
      </w:pPr>
      <w:r>
        <w:t xml:space="preserve">To ensure comprehensive consultation, the ACCC </w:t>
      </w:r>
      <w:r w:rsidR="00DB17A8">
        <w:t xml:space="preserve">reached out to a wide range </w:t>
      </w:r>
      <w:r w:rsidR="003D1D95">
        <w:t>of stakeholders</w:t>
      </w:r>
      <w:r w:rsidR="00DB17A8">
        <w:t xml:space="preserve"> including</w:t>
      </w:r>
      <w:r>
        <w:t xml:space="preserve"> from industry, government, academia and the medical field. </w:t>
      </w:r>
    </w:p>
    <w:p w14:paraId="596FBC32" w14:textId="7AC15A9D" w:rsidR="00C360AD" w:rsidRDefault="00201E65" w:rsidP="00F05000">
      <w:pPr>
        <w:spacing w:before="120"/>
      </w:pPr>
      <w:r>
        <w:t xml:space="preserve">We received </w:t>
      </w:r>
      <w:r w:rsidR="00C360AD">
        <w:t>3</w:t>
      </w:r>
      <w:r w:rsidR="00944650">
        <w:t>1</w:t>
      </w:r>
      <w:r w:rsidR="00C360AD">
        <w:t xml:space="preserve"> submissions from a wide range of stakeholders</w:t>
      </w:r>
      <w:r>
        <w:t>,</w:t>
      </w:r>
      <w:r w:rsidR="00C360AD">
        <w:t xml:space="preserve"> including:</w:t>
      </w:r>
    </w:p>
    <w:p w14:paraId="2E939FF5" w14:textId="1C1B11F6" w:rsidR="00C360AD" w:rsidRDefault="00952E3D" w:rsidP="00806096">
      <w:pPr>
        <w:pStyle w:val="ListParagraph"/>
        <w:numPr>
          <w:ilvl w:val="0"/>
          <w:numId w:val="44"/>
        </w:numPr>
      </w:pPr>
      <w:r>
        <w:t>a</w:t>
      </w:r>
      <w:r w:rsidR="00C360AD">
        <w:t>dvocacy groups</w:t>
      </w:r>
    </w:p>
    <w:p w14:paraId="706C5304" w14:textId="2D5E056B" w:rsidR="00C360AD" w:rsidRDefault="00500382" w:rsidP="00806096">
      <w:pPr>
        <w:pStyle w:val="ListParagraph"/>
        <w:numPr>
          <w:ilvl w:val="0"/>
          <w:numId w:val="44"/>
        </w:numPr>
      </w:pPr>
      <w:r>
        <w:t xml:space="preserve">state regulators, and other </w:t>
      </w:r>
      <w:r w:rsidR="00952E3D">
        <w:t>government</w:t>
      </w:r>
      <w:r w:rsidR="00C360AD">
        <w:t xml:space="preserve"> agencies </w:t>
      </w:r>
      <w:r w:rsidR="00952E3D">
        <w:t>(domestic and international)</w:t>
      </w:r>
    </w:p>
    <w:p w14:paraId="1DDFF8D1" w14:textId="27DD6808" w:rsidR="00500382" w:rsidRDefault="00500382" w:rsidP="00806096">
      <w:pPr>
        <w:pStyle w:val="ListParagraph"/>
        <w:numPr>
          <w:ilvl w:val="0"/>
          <w:numId w:val="44"/>
        </w:numPr>
      </w:pPr>
      <w:r>
        <w:t>subject matter experts</w:t>
      </w:r>
    </w:p>
    <w:p w14:paraId="06B9B891" w14:textId="0B02B763" w:rsidR="00C360AD" w:rsidRDefault="00C360AD" w:rsidP="00806096">
      <w:pPr>
        <w:pStyle w:val="ListParagraph"/>
        <w:numPr>
          <w:ilvl w:val="0"/>
          <w:numId w:val="44"/>
        </w:numPr>
      </w:pPr>
      <w:r>
        <w:t>manufacturers and retailers</w:t>
      </w:r>
      <w:r w:rsidR="00952E3D">
        <w:t xml:space="preserve"> (domestic and international, large and small)</w:t>
      </w:r>
    </w:p>
    <w:p w14:paraId="408F0C76" w14:textId="723E4817" w:rsidR="00C360AD" w:rsidRDefault="00500382" w:rsidP="00806096">
      <w:pPr>
        <w:pStyle w:val="ListParagraph"/>
        <w:numPr>
          <w:ilvl w:val="0"/>
          <w:numId w:val="44"/>
        </w:numPr>
      </w:pPr>
      <w:r>
        <w:t>m</w:t>
      </w:r>
      <w:r w:rsidR="00C360AD">
        <w:t>edical practitioners</w:t>
      </w:r>
    </w:p>
    <w:p w14:paraId="4ADDD2DF" w14:textId="5A60905E" w:rsidR="00C360AD" w:rsidRDefault="00500382" w:rsidP="00806096">
      <w:pPr>
        <w:pStyle w:val="ListParagraph"/>
        <w:numPr>
          <w:ilvl w:val="0"/>
          <w:numId w:val="44"/>
        </w:numPr>
      </w:pPr>
      <w:r>
        <w:t>m</w:t>
      </w:r>
      <w:r w:rsidR="00C360AD">
        <w:t>embers of the public</w:t>
      </w:r>
    </w:p>
    <w:p w14:paraId="3AEFA435" w14:textId="458F4349" w:rsidR="00C360AD" w:rsidRDefault="00500382" w:rsidP="00806096">
      <w:pPr>
        <w:pStyle w:val="ListParagraph"/>
        <w:numPr>
          <w:ilvl w:val="0"/>
          <w:numId w:val="44"/>
        </w:numPr>
      </w:pPr>
      <w:r>
        <w:t>p</w:t>
      </w:r>
      <w:r w:rsidR="00C360AD">
        <w:t>eak bodies and industry associations</w:t>
      </w:r>
    </w:p>
    <w:p w14:paraId="46189FA5" w14:textId="2B676FC1" w:rsidR="00C360AD" w:rsidRDefault="00C360AD" w:rsidP="00F05000">
      <w:pPr>
        <w:spacing w:before="120"/>
      </w:pPr>
      <w:r>
        <w:t xml:space="preserve">All public submissions to the Issues Paper and Consultation RIS are available via the </w:t>
      </w:r>
      <w:hyperlink r:id="rId27" w:history="1">
        <w:r w:rsidRPr="0023573C">
          <w:rPr>
            <w:rStyle w:val="Hyperlink"/>
          </w:rPr>
          <w:t>ACCC’s consultation hub</w:t>
        </w:r>
      </w:hyperlink>
      <w:r>
        <w:t>.</w:t>
      </w:r>
      <w:r w:rsidR="0023573C">
        <w:rPr>
          <w:rStyle w:val="FootnoteReference"/>
        </w:rPr>
        <w:footnoteReference w:id="32"/>
      </w:r>
      <w:r>
        <w:t xml:space="preserve"> </w:t>
      </w:r>
    </w:p>
    <w:p w14:paraId="3917E700" w14:textId="66BE2874" w:rsidR="00C360AD" w:rsidRDefault="00C360AD" w:rsidP="00F05000">
      <w:pPr>
        <w:pStyle w:val="Heading2"/>
        <w:spacing w:before="120"/>
      </w:pPr>
      <w:bookmarkStart w:id="329" w:name="_Toc117243064"/>
      <w:bookmarkStart w:id="330" w:name="_Toc117264916"/>
      <w:bookmarkStart w:id="331" w:name="_Toc117264987"/>
      <w:bookmarkStart w:id="332" w:name="_Toc117243065"/>
      <w:bookmarkStart w:id="333" w:name="_Toc117264917"/>
      <w:bookmarkStart w:id="334" w:name="_Toc117264988"/>
      <w:bookmarkStart w:id="335" w:name="_Toc117243066"/>
      <w:bookmarkStart w:id="336" w:name="_Toc117264918"/>
      <w:bookmarkStart w:id="337" w:name="_Toc117264989"/>
      <w:bookmarkStart w:id="338" w:name="_Toc117243067"/>
      <w:bookmarkStart w:id="339" w:name="_Toc117264919"/>
      <w:bookmarkStart w:id="340" w:name="_Toc117264990"/>
      <w:bookmarkStart w:id="341" w:name="_Toc117243068"/>
      <w:bookmarkStart w:id="342" w:name="_Toc117264920"/>
      <w:bookmarkStart w:id="343" w:name="_Toc117264991"/>
      <w:bookmarkStart w:id="344" w:name="_Toc126074122"/>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t>Summary of stakeholder feedback</w:t>
      </w:r>
      <w:bookmarkEnd w:id="344"/>
    </w:p>
    <w:p w14:paraId="6505CE6E" w14:textId="77777777" w:rsidR="00C360AD" w:rsidRPr="002F7498" w:rsidRDefault="00C360AD" w:rsidP="00F05000">
      <w:pPr>
        <w:pStyle w:val="Heading3"/>
        <w:spacing w:before="120"/>
      </w:pPr>
      <w:bookmarkStart w:id="345" w:name="_Toc126074123"/>
      <w:r>
        <w:t>Overview</w:t>
      </w:r>
      <w:bookmarkEnd w:id="345"/>
    </w:p>
    <w:p w14:paraId="5C35385C" w14:textId="638BFBFD" w:rsidR="00B654EC" w:rsidRDefault="00B654EC" w:rsidP="00B654EC">
      <w:pPr>
        <w:spacing w:before="120"/>
      </w:pPr>
      <w:r>
        <w:t xml:space="preserve">All stakeholders indicated some regulatory action should be taken to improve consumer safety, and that option 1 (status quo, no change) was not appropriate. </w:t>
      </w:r>
      <w:r w:rsidR="0039031E">
        <w:t xml:space="preserve">There was broad support from stakeholders for </w:t>
      </w:r>
      <w:r>
        <w:t xml:space="preserve">consumer education on the risks associated with toppling </w:t>
      </w:r>
      <w:r w:rsidR="001C3A7B">
        <w:t>furniture and</w:t>
      </w:r>
      <w:r>
        <w:t xml:space="preserve"> advising consumers to improve stability through anchoring. </w:t>
      </w:r>
    </w:p>
    <w:p w14:paraId="59800F03" w14:textId="5F75FED0" w:rsidR="00646432" w:rsidRDefault="00C360AD" w:rsidP="00F05000">
      <w:pPr>
        <w:spacing w:before="120"/>
      </w:pPr>
      <w:r>
        <w:t xml:space="preserve">A number of </w:t>
      </w:r>
      <w:r w:rsidR="00646432">
        <w:t xml:space="preserve">stakeholders including medical bodies (including the Australian Medical Association and </w:t>
      </w:r>
      <w:r w:rsidR="002F7058" w:rsidRPr="002F7058">
        <w:t>Sydney Children’s Hospitals Network</w:t>
      </w:r>
      <w:r w:rsidR="00646432">
        <w:t>) and consumer advocacy groups</w:t>
      </w:r>
      <w:r>
        <w:t xml:space="preserve"> indicated a preference for Option 5b</w:t>
      </w:r>
      <w:r w:rsidR="0023341B">
        <w:t xml:space="preserve"> </w:t>
      </w:r>
      <w:r w:rsidR="00AE0106">
        <w:t>(</w:t>
      </w:r>
      <w:r w:rsidR="003A67CA">
        <w:t xml:space="preserve">combination of </w:t>
      </w:r>
      <w:r w:rsidR="0023341B">
        <w:t xml:space="preserve">an information standard with a </w:t>
      </w:r>
      <w:r w:rsidR="003A67CA">
        <w:t xml:space="preserve">mandatory </w:t>
      </w:r>
      <w:r w:rsidR="0023341B">
        <w:t>safety standard that included</w:t>
      </w:r>
      <w:r w:rsidR="000E3F57">
        <w:t xml:space="preserve"> </w:t>
      </w:r>
      <w:r w:rsidR="00774292">
        <w:t xml:space="preserve">stability and anchoring </w:t>
      </w:r>
      <w:r w:rsidR="000E3F57">
        <w:t>requirements</w:t>
      </w:r>
      <w:r w:rsidR="00AE0106">
        <w:t>)</w:t>
      </w:r>
      <w:r>
        <w:t xml:space="preserve">. </w:t>
      </w:r>
    </w:p>
    <w:p w14:paraId="2ACD2D3A" w14:textId="49F9AA3F" w:rsidR="00C360AD" w:rsidRDefault="00646432" w:rsidP="00F05000">
      <w:pPr>
        <w:spacing w:before="120"/>
      </w:pPr>
      <w:r>
        <w:t>Other p</w:t>
      </w:r>
      <w:r w:rsidR="00C360AD">
        <w:t>eak industry bodies</w:t>
      </w:r>
      <w:r>
        <w:t xml:space="preserve"> (</w:t>
      </w:r>
      <w:r w:rsidR="00C360AD">
        <w:t>the Australian Retailers Association and the N</w:t>
      </w:r>
      <w:r w:rsidR="00A92A60">
        <w:t xml:space="preserve">ational </w:t>
      </w:r>
      <w:r w:rsidR="00C360AD">
        <w:t>R</w:t>
      </w:r>
      <w:r w:rsidR="00A92A60">
        <w:t xml:space="preserve">etailers </w:t>
      </w:r>
      <w:r w:rsidR="00C360AD">
        <w:t>A</w:t>
      </w:r>
      <w:r w:rsidR="00A92A60">
        <w:t>ssociation</w:t>
      </w:r>
      <w:r>
        <w:t>)</w:t>
      </w:r>
      <w:r w:rsidR="00C360AD">
        <w:t xml:space="preserve"> </w:t>
      </w:r>
      <w:r>
        <w:t xml:space="preserve">supported </w:t>
      </w:r>
      <w:r w:rsidR="00C360AD">
        <w:t>Option 5a</w:t>
      </w:r>
      <w:r>
        <w:t xml:space="preserve"> –</w:t>
      </w:r>
      <w:r w:rsidR="00C360AD">
        <w:t>information standard</w:t>
      </w:r>
      <w:r w:rsidR="003A67CA">
        <w:t xml:space="preserve"> and mandatory safety standard</w:t>
      </w:r>
      <w:r w:rsidR="00C360AD">
        <w:t xml:space="preserve"> </w:t>
      </w:r>
      <w:r w:rsidR="00686EC7">
        <w:t xml:space="preserve">that </w:t>
      </w:r>
      <w:r w:rsidR="008B0B0D">
        <w:t xml:space="preserve">did </w:t>
      </w:r>
      <w:r w:rsidR="00686EC7">
        <w:t>not include a stability requirement</w:t>
      </w:r>
      <w:r w:rsidR="00C360AD">
        <w:t>.</w:t>
      </w:r>
    </w:p>
    <w:p w14:paraId="1C4CC6B1" w14:textId="435FD69A" w:rsidR="00C360AD" w:rsidRDefault="00C360AD" w:rsidP="00F05000">
      <w:pPr>
        <w:spacing w:before="120"/>
      </w:pPr>
      <w:r>
        <w:t>Some stakeholders recommended narrowing the scope of the preferred policy option to relevant furniture identified as presenting a high-risk to consumers</w:t>
      </w:r>
      <w:r w:rsidR="008B0B0D">
        <w:t xml:space="preserve"> (for example, </w:t>
      </w:r>
      <w:r w:rsidR="00AE0106">
        <w:t>chests of drawers</w:t>
      </w:r>
      <w:r w:rsidR="008B0B0D">
        <w:t>)</w:t>
      </w:r>
      <w:r>
        <w:t xml:space="preserve">. </w:t>
      </w:r>
      <w:r w:rsidR="008B0B0D">
        <w:t>Separately, some s</w:t>
      </w:r>
      <w:r>
        <w:t xml:space="preserve">takeholders </w:t>
      </w:r>
      <w:r w:rsidR="008B0B0D">
        <w:t>recommended against implementing a mandatory safety standard as</w:t>
      </w:r>
      <w:r>
        <w:t xml:space="preserve"> there is </w:t>
      </w:r>
      <w:r w:rsidR="008B0B0D">
        <w:t>currently n</w:t>
      </w:r>
      <w:r>
        <w:t xml:space="preserve">o appropriate </w:t>
      </w:r>
      <w:r w:rsidR="006E6CC6">
        <w:t xml:space="preserve">voluntary </w:t>
      </w:r>
      <w:r>
        <w:t>standard to inform stability testing</w:t>
      </w:r>
      <w:r w:rsidR="008B0B0D">
        <w:t>.</w:t>
      </w:r>
      <w:r>
        <w:t xml:space="preserve"> </w:t>
      </w:r>
    </w:p>
    <w:p w14:paraId="5B650529" w14:textId="77777777" w:rsidR="00C360AD" w:rsidRDefault="00C360AD" w:rsidP="00F05000">
      <w:pPr>
        <w:pStyle w:val="Heading3"/>
        <w:spacing w:before="120"/>
      </w:pPr>
      <w:bookmarkStart w:id="346" w:name="_Toc126074124"/>
      <w:r>
        <w:t>Scope</w:t>
      </w:r>
      <w:bookmarkEnd w:id="346"/>
    </w:p>
    <w:p w14:paraId="4D83E1F1" w14:textId="61A68B6B" w:rsidR="00C360AD" w:rsidRDefault="00C360AD" w:rsidP="00F05000">
      <w:pPr>
        <w:spacing w:before="120"/>
      </w:pPr>
      <w:r>
        <w:t xml:space="preserve">Medical and </w:t>
      </w:r>
      <w:r w:rsidR="00D75A3B">
        <w:t xml:space="preserve">consumer </w:t>
      </w:r>
      <w:r>
        <w:t>advocacy groups recommended a broad scope of reform to include second-hand furniture and furniture sold via online platforms such as Facebook Marketplace and Gumtree. CHOICE stated the risk of injury is present</w:t>
      </w:r>
      <w:r w:rsidDel="002C281C">
        <w:t xml:space="preserve"> </w:t>
      </w:r>
      <w:r>
        <w:t xml:space="preserve">whether furniture products are new or previously used. </w:t>
      </w:r>
    </w:p>
    <w:p w14:paraId="34CAADB8" w14:textId="77777777" w:rsidR="00AC2FFC" w:rsidRDefault="00C360AD" w:rsidP="00F05000">
      <w:pPr>
        <w:spacing w:before="120"/>
      </w:pPr>
      <w:r>
        <w:t xml:space="preserve">Other </w:t>
      </w:r>
      <w:r w:rsidR="005A59C2">
        <w:t>industry</w:t>
      </w:r>
      <w:r>
        <w:t xml:space="preserve"> stakeholders did not support extending the scope of the options to second-hand furniture, due to the practical difficulties in requiring second-hand products to be tested or comply with new regulations</w:t>
      </w:r>
      <w:r w:rsidR="00AC2FFC">
        <w:t>:</w:t>
      </w:r>
    </w:p>
    <w:p w14:paraId="71799772" w14:textId="1680CA7E" w:rsidR="00AC2FFC" w:rsidRDefault="00C360AD" w:rsidP="00806096">
      <w:pPr>
        <w:pStyle w:val="ListParagraph"/>
        <w:numPr>
          <w:ilvl w:val="0"/>
          <w:numId w:val="48"/>
        </w:numPr>
      </w:pPr>
      <w:r>
        <w:t xml:space="preserve">IKEA was of the view that any </w:t>
      </w:r>
      <w:r w:rsidR="005A59C2">
        <w:t xml:space="preserve">safety </w:t>
      </w:r>
      <w:r>
        <w:t xml:space="preserve">standard should target the most dangerous products according to statistics and data, which IKEA identified as chests of drawers. </w:t>
      </w:r>
    </w:p>
    <w:p w14:paraId="577FB18B" w14:textId="3DEB51EE" w:rsidR="00C360AD" w:rsidRDefault="00D75A3B" w:rsidP="00806096">
      <w:pPr>
        <w:pStyle w:val="ListParagraph"/>
        <w:numPr>
          <w:ilvl w:val="0"/>
          <w:numId w:val="48"/>
        </w:numPr>
      </w:pPr>
      <w:r>
        <w:t>t</w:t>
      </w:r>
      <w:r w:rsidR="00C360AD">
        <w:t>he N</w:t>
      </w:r>
      <w:r w:rsidR="00AC2EF0">
        <w:t xml:space="preserve">ational </w:t>
      </w:r>
      <w:r w:rsidR="00C360AD">
        <w:t>R</w:t>
      </w:r>
      <w:r w:rsidR="00AC2EF0">
        <w:t>etailers Association</w:t>
      </w:r>
      <w:r w:rsidR="00C360AD">
        <w:t xml:space="preserve"> recommended a number of products should not be included in scope, including second hand furniture, custom-made furniture and living room furniture (e.g. coffee and dining tables).</w:t>
      </w:r>
      <w:r w:rsidR="00297F74">
        <w:t xml:space="preserve"> </w:t>
      </w:r>
      <w:r w:rsidR="00E5184B">
        <w:t>They</w:t>
      </w:r>
      <w:r w:rsidR="00297F74">
        <w:t xml:space="preserve"> also recommended consideration of the definitions of the </w:t>
      </w:r>
      <w:r w:rsidR="00AC2FFC">
        <w:t>in-scope</w:t>
      </w:r>
      <w:r w:rsidR="00297F74">
        <w:t xml:space="preserve"> items, noting that in Australian and overseas markets, </w:t>
      </w:r>
      <w:r w:rsidR="005A59C2">
        <w:t>differing</w:t>
      </w:r>
      <w:r w:rsidR="00297F74">
        <w:t xml:space="preserve"> terms may be used to describe a product.</w:t>
      </w:r>
    </w:p>
    <w:p w14:paraId="58CAF6EA" w14:textId="77777777" w:rsidR="00C360AD" w:rsidRDefault="00C360AD" w:rsidP="00F05000">
      <w:pPr>
        <w:spacing w:before="120"/>
      </w:pPr>
      <w:r>
        <w:t xml:space="preserve">The Consumer Electronics Suppliers Association welcomed the ACCC’s exclusion of televisions from the scope of the policy options, noting the relevant standard for televisions had been recently updated to mandate the inclusion of a restraining strap in addition to existing stability tests. </w:t>
      </w:r>
    </w:p>
    <w:p w14:paraId="7D6F4B8A" w14:textId="77777777" w:rsidR="00C360AD" w:rsidRDefault="00C360AD" w:rsidP="00F05000">
      <w:pPr>
        <w:pStyle w:val="Heading3"/>
        <w:spacing w:before="120"/>
      </w:pPr>
      <w:bookmarkStart w:id="347" w:name="_Toc126074125"/>
      <w:r>
        <w:t>Safety information and warning labels</w:t>
      </w:r>
      <w:bookmarkEnd w:id="347"/>
    </w:p>
    <w:p w14:paraId="31B1F9D9" w14:textId="59E2BE24" w:rsidR="00C360AD" w:rsidRDefault="00C360AD" w:rsidP="00F05000">
      <w:pPr>
        <w:spacing w:before="120"/>
      </w:pPr>
      <w:r>
        <w:t xml:space="preserve">A common theme across almost all submissions was a preference for warning labels to be primarily pictorial, with any text to be in simple language. Pictorial information is universal and easily </w:t>
      </w:r>
      <w:r w:rsidR="003045A4">
        <w:t xml:space="preserve">understood </w:t>
      </w:r>
      <w:r>
        <w:t xml:space="preserve">regardless of literacy levels and ensures that </w:t>
      </w:r>
      <w:r w:rsidR="003045A4">
        <w:t>messaging is accessible to</w:t>
      </w:r>
      <w:r>
        <w:t xml:space="preserve"> culturally and linguistically diverse audiences.</w:t>
      </w:r>
      <w:r w:rsidR="00B27C79">
        <w:t xml:space="preserve"> Stakeholders noted that labels should inform consumers about the tip over hazard </w:t>
      </w:r>
      <w:r w:rsidR="003045A4">
        <w:t xml:space="preserve">as well as </w:t>
      </w:r>
      <w:r w:rsidR="00B27C79">
        <w:t>how it can be prevented.</w:t>
      </w:r>
      <w:r>
        <w:t xml:space="preserve"> It was also recommended that labels and safety messages </w:t>
      </w:r>
      <w:r w:rsidR="004A6FF5">
        <w:t xml:space="preserve">be </w:t>
      </w:r>
      <w:r w:rsidR="00460568">
        <w:t>large</w:t>
      </w:r>
      <w:r>
        <w:t xml:space="preserve"> </w:t>
      </w:r>
      <w:r w:rsidR="00B27C79">
        <w:t xml:space="preserve">to assist </w:t>
      </w:r>
      <w:r w:rsidR="00197012">
        <w:t>visibility and accessibility</w:t>
      </w:r>
      <w:r>
        <w:t xml:space="preserve">. </w:t>
      </w:r>
    </w:p>
    <w:p w14:paraId="304C1927" w14:textId="121C61DB" w:rsidR="00B80693" w:rsidRDefault="00B80693" w:rsidP="00B80693">
      <w:pPr>
        <w:spacing w:before="120"/>
      </w:pPr>
      <w:r>
        <w:t xml:space="preserve">Multiple stakeholders supported warning labels based on those in the American standard, and pictograms developed by the </w:t>
      </w:r>
      <w:r w:rsidR="00B056B5" w:rsidRPr="00AF6193">
        <w:t>United States Consumer Product Safety Commission (US CPSC)</w:t>
      </w:r>
      <w:r>
        <w:t>. CHOICE endorsed several examples of effective labels and warning messages, including labels and warnings from the NRA Guide.</w:t>
      </w:r>
    </w:p>
    <w:p w14:paraId="13CAD878" w14:textId="50BA0842" w:rsidR="00C360AD" w:rsidRDefault="00106E4C" w:rsidP="00F05000">
      <w:pPr>
        <w:spacing w:before="120"/>
      </w:pPr>
      <w:r>
        <w:t>CHOICE</w:t>
      </w:r>
      <w:r w:rsidR="008C45DC">
        <w:t xml:space="preserve"> noted a </w:t>
      </w:r>
      <w:r>
        <w:t>2020</w:t>
      </w:r>
      <w:r w:rsidR="008C45DC">
        <w:t xml:space="preserve"> survey that indicated only 45</w:t>
      </w:r>
      <w:r>
        <w:t xml:space="preserve">% </w:t>
      </w:r>
      <w:r w:rsidR="008C45DC">
        <w:t>of respondents recalled being provided with tip over information at the point of sale.</w:t>
      </w:r>
      <w:r>
        <w:t xml:space="preserve"> </w:t>
      </w:r>
      <w:r w:rsidR="00C360AD">
        <w:t>Consumer advocates</w:t>
      </w:r>
      <w:r w:rsidR="000632B4">
        <w:t xml:space="preserve"> </w:t>
      </w:r>
      <w:r w:rsidR="00AC2FFC">
        <w:t xml:space="preserve">and some industry </w:t>
      </w:r>
      <w:r w:rsidR="00AF593D">
        <w:t>representatives</w:t>
      </w:r>
      <w:r w:rsidR="00AC2FFC">
        <w:t xml:space="preserve"> </w:t>
      </w:r>
      <w:r w:rsidR="00B80693">
        <w:t>expressed views</w:t>
      </w:r>
      <w:r w:rsidR="00C360AD">
        <w:t xml:space="preserve"> that point-of-sale</w:t>
      </w:r>
      <w:r>
        <w:t xml:space="preserve"> </w:t>
      </w:r>
      <w:r w:rsidR="00C360AD">
        <w:t xml:space="preserve">safety and educational messaging should be required </w:t>
      </w:r>
      <w:r w:rsidR="0091236C">
        <w:t>for both</w:t>
      </w:r>
      <w:r w:rsidR="00C360AD">
        <w:t xml:space="preserve"> second-hand </w:t>
      </w:r>
      <w:r w:rsidR="0091236C">
        <w:t xml:space="preserve">and new furniture </w:t>
      </w:r>
      <w:r w:rsidR="00C360AD">
        <w:t xml:space="preserve">retailers. </w:t>
      </w:r>
    </w:p>
    <w:p w14:paraId="794933EC" w14:textId="1D7F0826" w:rsidR="00C360AD" w:rsidRDefault="00C360AD" w:rsidP="00F05000">
      <w:pPr>
        <w:spacing w:before="120"/>
      </w:pPr>
      <w:r>
        <w:t xml:space="preserve">eBay </w:t>
      </w:r>
      <w:r w:rsidR="000632B4">
        <w:t>explained</w:t>
      </w:r>
      <w:r>
        <w:t xml:space="preserve"> </w:t>
      </w:r>
      <w:r w:rsidR="000632B4">
        <w:t>the</w:t>
      </w:r>
      <w:r>
        <w:t xml:space="preserve"> challenge in requiring marketplaces to provide safety information at the point of sale, as the individual listers are responsible for providing safety information. However, </w:t>
      </w:r>
      <w:r w:rsidR="00500C48">
        <w:t>eBay</w:t>
      </w:r>
      <w:r>
        <w:t xml:space="preserve"> indicated they would be willing to engage on this matter and provide updated guidance to sellers. </w:t>
      </w:r>
    </w:p>
    <w:p w14:paraId="716348B5" w14:textId="0BDBB94D" w:rsidR="00404037" w:rsidRDefault="00C360AD" w:rsidP="00F05000">
      <w:pPr>
        <w:spacing w:before="120"/>
      </w:pPr>
      <w:r>
        <w:t xml:space="preserve">Stakeholders including the Queensland Family and Child Commission noted </w:t>
      </w:r>
      <w:r w:rsidR="00B80693">
        <w:t>most</w:t>
      </w:r>
      <w:r>
        <w:t xml:space="preserve"> children who had died in toppling furniture incidents in Queensland were from a low socio</w:t>
      </w:r>
      <w:r w:rsidR="001C3A7B">
        <w:t>-</w:t>
      </w:r>
      <w:r>
        <w:t>economic background</w:t>
      </w:r>
      <w:r w:rsidR="00B80693">
        <w:t>. T</w:t>
      </w:r>
      <w:r>
        <w:t>herefore</w:t>
      </w:r>
      <w:r w:rsidR="00B80693">
        <w:t>,</w:t>
      </w:r>
      <w:r>
        <w:t xml:space="preserve"> messaging must be accessible and targeted to those backgrounds or other disadvantaged groups. </w:t>
      </w:r>
    </w:p>
    <w:p w14:paraId="175A71CA" w14:textId="06695632" w:rsidR="00485CC9" w:rsidRDefault="00485CC9" w:rsidP="00B70FC6">
      <w:pPr>
        <w:spacing w:before="120"/>
      </w:pPr>
    </w:p>
    <w:p w14:paraId="480CF540" w14:textId="77777777" w:rsidR="00C360AD" w:rsidRDefault="00C360AD" w:rsidP="00F05000">
      <w:pPr>
        <w:pStyle w:val="Heading3"/>
        <w:spacing w:before="120"/>
      </w:pPr>
      <w:bookmarkStart w:id="348" w:name="_Toc126074126"/>
      <w:r>
        <w:t>Anchoring</w:t>
      </w:r>
      <w:bookmarkEnd w:id="348"/>
    </w:p>
    <w:p w14:paraId="195092C3" w14:textId="143C5D14" w:rsidR="00E800DE" w:rsidRDefault="00C360AD" w:rsidP="00F05000">
      <w:pPr>
        <w:spacing w:before="120"/>
      </w:pPr>
      <w:r>
        <w:t>CHOICE recommended the Government implement measures to improve access to anchoring for consumers at low or no cost. CHOICE highlighted that only</w:t>
      </w:r>
      <w:r w:rsidR="00360154">
        <w:t xml:space="preserve"> </w:t>
      </w:r>
      <w:r w:rsidR="00F01BF7">
        <w:t>3</w:t>
      </w:r>
      <w:r w:rsidR="007829E3">
        <w:t xml:space="preserve">% </w:t>
      </w:r>
      <w:r>
        <w:t xml:space="preserve">of consumers recall </w:t>
      </w:r>
      <w:r w:rsidR="00E800DE">
        <w:t xml:space="preserve">anchoring recommendations </w:t>
      </w:r>
      <w:r>
        <w:t>at the point of sale.</w:t>
      </w:r>
      <w:r>
        <w:rPr>
          <w:rStyle w:val="FootnoteReference"/>
        </w:rPr>
        <w:footnoteReference w:id="33"/>
      </w:r>
      <w:r>
        <w:t xml:space="preserve"> </w:t>
      </w:r>
    </w:p>
    <w:p w14:paraId="34297E14" w14:textId="7E1AD587" w:rsidR="00C360AD" w:rsidRDefault="00C360AD" w:rsidP="00F05000">
      <w:pPr>
        <w:spacing w:before="120"/>
      </w:pPr>
      <w:r>
        <w:t xml:space="preserve">IKEA reiterated its view that correct anchoring was the best way to prevent </w:t>
      </w:r>
      <w:r w:rsidR="001B4A8D">
        <w:t xml:space="preserve">furniture from toppling </w:t>
      </w:r>
      <w:r w:rsidR="00E800DE">
        <w:t xml:space="preserve">and supported </w:t>
      </w:r>
      <w:r>
        <w:t xml:space="preserve">‘universal’ fittings. </w:t>
      </w:r>
    </w:p>
    <w:p w14:paraId="36D69956" w14:textId="29687977" w:rsidR="00C360AD" w:rsidRDefault="00C360AD" w:rsidP="00F05000">
      <w:pPr>
        <w:spacing w:before="120"/>
      </w:pPr>
      <w:r>
        <w:t xml:space="preserve">Some stakeholders reinforced concerns </w:t>
      </w:r>
      <w:r w:rsidR="00E800DE">
        <w:t>about inconsistent r</w:t>
      </w:r>
      <w:r>
        <w:t>ental laws</w:t>
      </w:r>
      <w:r w:rsidR="00E800DE">
        <w:t xml:space="preserve"> between states</w:t>
      </w:r>
      <w:r>
        <w:t>. The Consumers’ Federation of Australia</w:t>
      </w:r>
      <w:r w:rsidR="000A6EA3">
        <w:t xml:space="preserve"> (CFA)</w:t>
      </w:r>
      <w:r>
        <w:t xml:space="preserve"> recommended the ACCC encourage relevant state </w:t>
      </w:r>
      <w:r w:rsidR="007C07D8">
        <w:t>and territory</w:t>
      </w:r>
      <w:r>
        <w:t xml:space="preserve"> ministers to adopt a consistent national requirement for landlords to permit tenants to secure furniture</w:t>
      </w:r>
      <w:r w:rsidR="000B0974">
        <w:t xml:space="preserve"> to walls</w:t>
      </w:r>
      <w:r>
        <w:t xml:space="preserve">. </w:t>
      </w:r>
      <w:r w:rsidR="000A6EA3">
        <w:t>The CFA considered it was not acceptable that those who rent endure a less safe living environment than those who own their own home</w:t>
      </w:r>
      <w:r>
        <w:t xml:space="preserve">. Health Canada suggested the ACCC also consider an option requiring that products only fully function when an anchoring or safety device is installed. </w:t>
      </w:r>
    </w:p>
    <w:p w14:paraId="68C58E7D" w14:textId="0FDD2723" w:rsidR="00C360AD" w:rsidRDefault="00C360AD" w:rsidP="00F05000">
      <w:pPr>
        <w:spacing w:before="120"/>
      </w:pPr>
      <w:r>
        <w:t xml:space="preserve">Not all stakeholders thought anchors should be mandated. Furntech suggested </w:t>
      </w:r>
      <w:r w:rsidR="00C02CE9">
        <w:t>anchor devices</w:t>
      </w:r>
      <w:r>
        <w:t xml:space="preserve"> and guidance material be required but not wall </w:t>
      </w:r>
      <w:r w:rsidR="00C02CE9">
        <w:t>fixtures</w:t>
      </w:r>
      <w:r>
        <w:t xml:space="preserve"> themselves. Other stakeholders noted </w:t>
      </w:r>
      <w:r w:rsidR="00500C48">
        <w:t>reliance on</w:t>
      </w:r>
      <w:r>
        <w:t xml:space="preserve"> anchors places the responsibility on consumers to anchor their furniture, rather than placing the onus on suppliers to ensure their products are safe to use. </w:t>
      </w:r>
    </w:p>
    <w:p w14:paraId="7DF84F83" w14:textId="77777777" w:rsidR="00C360AD" w:rsidRDefault="00C360AD" w:rsidP="00F05000">
      <w:pPr>
        <w:pStyle w:val="Heading3"/>
        <w:spacing w:before="120"/>
      </w:pPr>
      <w:bookmarkStart w:id="349" w:name="_Toc126074127"/>
      <w:r w:rsidRPr="002900B1">
        <w:t>Stability requirements</w:t>
      </w:r>
      <w:bookmarkEnd w:id="349"/>
      <w:r w:rsidRPr="002900B1">
        <w:t xml:space="preserve"> </w:t>
      </w:r>
    </w:p>
    <w:p w14:paraId="777CF55A" w14:textId="76811583" w:rsidR="00C360AD" w:rsidRDefault="00C360AD" w:rsidP="00F05000">
      <w:pPr>
        <w:spacing w:before="120"/>
      </w:pPr>
      <w:r>
        <w:t>Stakeholders agreed in principle on the benefits of stable furniture. Consumer and medical groups strongly supported the inclusion of a stability requirement, though there was no consensus as to which voluntary standard was most appropriate</w:t>
      </w:r>
      <w:r w:rsidR="00896644">
        <w:t xml:space="preserve"> for a mandatory standard to refer to</w:t>
      </w:r>
      <w:r>
        <w:t xml:space="preserve">. </w:t>
      </w:r>
    </w:p>
    <w:p w14:paraId="51232A5D" w14:textId="5C9A3578" w:rsidR="00A00E94" w:rsidRDefault="00A00E94" w:rsidP="00F05000">
      <w:pPr>
        <w:spacing w:before="120"/>
      </w:pPr>
      <w:r>
        <w:t>Furntech noted there was not currently a standard that could be adopted as the relevant American and Australian standards were under review. This presents the most significant barrier to pursuing a safety standard with stability requirement at this time. In addition, stakeholders noted th</w:t>
      </w:r>
      <w:r w:rsidR="00973AC1">
        <w:t>e</w:t>
      </w:r>
      <w:r w:rsidR="00FD2DCE">
        <w:t xml:space="preserve"> current</w:t>
      </w:r>
      <w:r w:rsidR="00973AC1">
        <w:t xml:space="preserve"> development of </w:t>
      </w:r>
      <w:r>
        <w:t xml:space="preserve">a </w:t>
      </w:r>
      <w:r w:rsidR="00973AC1">
        <w:t xml:space="preserve">mandatory </w:t>
      </w:r>
      <w:r>
        <w:t>safety standard for clothing storage units in the US</w:t>
      </w:r>
      <w:r w:rsidR="001C3A7B">
        <w:t xml:space="preserve"> </w:t>
      </w:r>
      <w:r>
        <w:t xml:space="preserve">which could complement or influence a similar standard in Australia.  </w:t>
      </w:r>
    </w:p>
    <w:p w14:paraId="0FDD75BC" w14:textId="036970DD" w:rsidR="00C360AD" w:rsidRDefault="00C360AD" w:rsidP="00F05000">
      <w:pPr>
        <w:spacing w:before="120"/>
      </w:pPr>
      <w:r>
        <w:t xml:space="preserve">Retailers noted that stability and safety were key considerations in furniture design. IKEA submitted there had been considerable work done to improve furniture stability and noted its business model </w:t>
      </w:r>
      <w:r w:rsidR="003670DA">
        <w:t>centres on well</w:t>
      </w:r>
      <w:r>
        <w:t xml:space="preserve"> designed, safe, and affordable home furnishing solutions. </w:t>
      </w:r>
      <w:r w:rsidR="00673699">
        <w:t>IKEA highlighted the significant cos</w:t>
      </w:r>
      <w:r w:rsidR="000B09E5">
        <w:t>t of furniture redesign, and the challenge of market specific design changes.</w:t>
      </w:r>
      <w:r w:rsidR="00853717">
        <w:t xml:space="preserve"> </w:t>
      </w:r>
      <w:r w:rsidR="0070267A">
        <w:t xml:space="preserve">Redesigned products could face significant delays due </w:t>
      </w:r>
      <w:r w:rsidR="00853717">
        <w:t>to supply chain constraints</w:t>
      </w:r>
      <w:r w:rsidR="0070267A">
        <w:t xml:space="preserve">. </w:t>
      </w:r>
      <w:r>
        <w:t xml:space="preserve">Industry stakeholders broadly agreed that </w:t>
      </w:r>
      <w:r w:rsidR="00896644">
        <w:t xml:space="preserve">should the ACCC seek to implement a stability requirement, </w:t>
      </w:r>
      <w:r>
        <w:t xml:space="preserve">there would need to be significant additional consultation. </w:t>
      </w:r>
    </w:p>
    <w:p w14:paraId="4953DE1E" w14:textId="77777777" w:rsidR="00C360AD" w:rsidRDefault="00C360AD" w:rsidP="00F05000">
      <w:pPr>
        <w:pStyle w:val="Heading3"/>
        <w:spacing w:before="120"/>
      </w:pPr>
      <w:bookmarkStart w:id="350" w:name="_Toc126074128"/>
      <w:r>
        <w:t>Cost to industry</w:t>
      </w:r>
      <w:bookmarkEnd w:id="350"/>
    </w:p>
    <w:p w14:paraId="317D0EC6" w14:textId="0CCEFE7C" w:rsidR="00C360AD" w:rsidRDefault="00C360AD" w:rsidP="00F05000">
      <w:pPr>
        <w:spacing w:before="120"/>
      </w:pPr>
      <w:r>
        <w:t xml:space="preserve">The NRA identified a number of costs associated with the options in the </w:t>
      </w:r>
      <w:r w:rsidR="00B5263F">
        <w:t>C</w:t>
      </w:r>
      <w:r w:rsidR="00EA5D42">
        <w:t xml:space="preserve">onsultation </w:t>
      </w:r>
      <w:r>
        <w:t xml:space="preserve">RIS, including product testing costs, the cost of developing products to comply with regulations, and the costs of labelling and instructions. The NRA suggested that costs could be reduced via testing in the country of manufacture (predominantly in Asia). </w:t>
      </w:r>
      <w:r w:rsidR="005724F7">
        <w:t>Separately, i</w:t>
      </w:r>
      <w:r>
        <w:t>t noted that retailers would incur costs as a result of lost sales due to some current products potentially failing any new stability requirements</w:t>
      </w:r>
      <w:r w:rsidR="005724F7">
        <w:t xml:space="preserve"> given the </w:t>
      </w:r>
      <w:r w:rsidR="00727C20">
        <w:t>slower product turnover</w:t>
      </w:r>
      <w:r w:rsidR="005724F7">
        <w:t xml:space="preserve"> in the furniture market</w:t>
      </w:r>
      <w:r>
        <w:t>. Stakeholders noted the cost impact would be greater on the lower end of the market.</w:t>
      </w:r>
    </w:p>
    <w:p w14:paraId="25AC8EA8" w14:textId="74584D96" w:rsidR="00C360AD" w:rsidRDefault="00C360AD" w:rsidP="00F05000">
      <w:pPr>
        <w:spacing w:before="120"/>
        <w:rPr>
          <w:b/>
          <w:bCs/>
        </w:rPr>
      </w:pPr>
      <w:r>
        <w:t xml:space="preserve">The CFA, conversely, </w:t>
      </w:r>
      <w:r w:rsidR="005724F7">
        <w:t xml:space="preserve">was </w:t>
      </w:r>
      <w:r>
        <w:t xml:space="preserve">of the view that the ACCC ought to place less importance on costs of implementing regulatory measures. The CFA stated that the removal of unsafe products from markets is common, and the community would be comfortable with increased costs or </w:t>
      </w:r>
      <w:r w:rsidR="00DD3D9C">
        <w:t>reduced</w:t>
      </w:r>
      <w:r>
        <w:t xml:space="preserve"> consumer choice given the importance of safety, especially for children. </w:t>
      </w:r>
    </w:p>
    <w:p w14:paraId="67E99CDE" w14:textId="34D78D64" w:rsidR="00C360AD" w:rsidRDefault="00C360AD" w:rsidP="00F05000">
      <w:pPr>
        <w:spacing w:before="120"/>
      </w:pPr>
      <w:r>
        <w:t xml:space="preserve">Nearly all stakeholders shared the view that a staged transition is appropriate, recognising some of the </w:t>
      </w:r>
      <w:r w:rsidR="004B515B">
        <w:t xml:space="preserve">proposed </w:t>
      </w:r>
      <w:r>
        <w:t xml:space="preserve">measures would be less onerous for industry to adopt than others. A period of 6-12 months was generally seen as a suitable transition for the inclusion of warning labels and information requirements. Most stakeholders </w:t>
      </w:r>
      <w:r w:rsidR="003757D5">
        <w:t xml:space="preserve">considered </w:t>
      </w:r>
      <w:r>
        <w:t xml:space="preserve">a transition period of 24 months would be appropriate for the stability requirements in Option 5b. </w:t>
      </w:r>
    </w:p>
    <w:p w14:paraId="0833E8B0" w14:textId="775ABACC" w:rsidR="00C360AD" w:rsidRPr="002900B1" w:rsidRDefault="00C360AD" w:rsidP="00F05000">
      <w:pPr>
        <w:pStyle w:val="Heading3"/>
        <w:spacing w:before="120"/>
      </w:pPr>
      <w:bookmarkStart w:id="351" w:name="_Toc126074129"/>
      <w:r w:rsidRPr="002900B1">
        <w:t>Further stakeholder consultation</w:t>
      </w:r>
      <w:r w:rsidR="00A42E5D">
        <w:t xml:space="preserve"> and international developments</w:t>
      </w:r>
      <w:bookmarkEnd w:id="351"/>
    </w:p>
    <w:p w14:paraId="3665C4D4" w14:textId="56A60FA9" w:rsidR="00493C21" w:rsidRDefault="00493C21" w:rsidP="00493C21">
      <w:pPr>
        <w:spacing w:before="120"/>
      </w:pPr>
      <w:r>
        <w:t xml:space="preserve">The ACCC met with Furntech to discuss product testing. Furntech noted that stability testing to the Australian voluntary standard is somewhat subjective and may not produce results that are universally replicable or entirely scientifically accurate. If stability requirements in the voluntary standards were to be made mandatory, Furntech considered it likely that most products currently on the market would fail testing. Furntech also noted current testing weight is based on a child at 5 years and 11 months of age, whereas ACCC data indicates children aged 4 years and younger are most vulnerable to injury or death. </w:t>
      </w:r>
    </w:p>
    <w:p w14:paraId="5174B1AC" w14:textId="3BB39EF6" w:rsidR="00C10FA8" w:rsidRDefault="00B54F1A" w:rsidP="00F05000">
      <w:pPr>
        <w:spacing w:before="120"/>
      </w:pPr>
      <w:r>
        <w:t>In August 2022</w:t>
      </w:r>
      <w:r w:rsidRPr="00AC2EF0">
        <w:t xml:space="preserve"> </w:t>
      </w:r>
      <w:r w:rsidR="00313E84" w:rsidRPr="00AC2EF0">
        <w:t xml:space="preserve">ACCC </w:t>
      </w:r>
      <w:r w:rsidR="00493C21">
        <w:t xml:space="preserve">also </w:t>
      </w:r>
      <w:r w:rsidR="005A468C">
        <w:t>met</w:t>
      </w:r>
      <w:r w:rsidR="005A468C" w:rsidRPr="00AC2EF0">
        <w:t xml:space="preserve"> </w:t>
      </w:r>
      <w:r w:rsidR="00313E84" w:rsidRPr="00AC2EF0">
        <w:t>with t</w:t>
      </w:r>
      <w:r w:rsidR="00971516" w:rsidRPr="00AC2EF0">
        <w:t>he U</w:t>
      </w:r>
      <w:r w:rsidR="00AC2EF0">
        <w:t xml:space="preserve">nited </w:t>
      </w:r>
      <w:r w:rsidR="00971516" w:rsidRPr="00AC2EF0">
        <w:t>S</w:t>
      </w:r>
      <w:r w:rsidR="00AC2EF0">
        <w:t>tates</w:t>
      </w:r>
      <w:r w:rsidR="00971516" w:rsidRPr="00AC2EF0">
        <w:t xml:space="preserve"> C</w:t>
      </w:r>
      <w:r w:rsidR="00AC2EF0">
        <w:t xml:space="preserve">onsumer </w:t>
      </w:r>
      <w:r w:rsidR="00971516" w:rsidRPr="00AC2EF0">
        <w:t>P</w:t>
      </w:r>
      <w:r w:rsidR="00AC2EF0">
        <w:t xml:space="preserve">roduct </w:t>
      </w:r>
      <w:r w:rsidR="00971516" w:rsidRPr="00AC2EF0">
        <w:t>S</w:t>
      </w:r>
      <w:r w:rsidR="00AC2EF0">
        <w:t xml:space="preserve">afety </w:t>
      </w:r>
      <w:r w:rsidR="00971516" w:rsidRPr="00AC2EF0">
        <w:t>C</w:t>
      </w:r>
      <w:r w:rsidR="00AC2EF0">
        <w:t>ommission (US CPSC</w:t>
      </w:r>
      <w:r w:rsidR="00C10FA8">
        <w:t>) and</w:t>
      </w:r>
      <w:r w:rsidR="005A468C">
        <w:t xml:space="preserve"> </w:t>
      </w:r>
      <w:r w:rsidR="00D47CD6">
        <w:t>noted the development of</w:t>
      </w:r>
      <w:r w:rsidR="005A468C" w:rsidRPr="00AC2EF0">
        <w:t xml:space="preserve"> </w:t>
      </w:r>
      <w:r w:rsidR="00313E84" w:rsidRPr="00AC2EF0">
        <w:t>a</w:t>
      </w:r>
      <w:r w:rsidR="002E671C">
        <w:t xml:space="preserve"> US</w:t>
      </w:r>
      <w:r w:rsidR="00313E84" w:rsidRPr="00AC2EF0">
        <w:t xml:space="preserve"> mandatory safety standard for clothing storage units (including wardrobes but excluding bookcases). </w:t>
      </w:r>
    </w:p>
    <w:p w14:paraId="4A725AF7" w14:textId="5F0D6B86" w:rsidR="00C360AD" w:rsidRDefault="00B54F1A" w:rsidP="00F05000">
      <w:pPr>
        <w:spacing w:before="120"/>
      </w:pPr>
      <w:r>
        <w:t>From media coverage</w:t>
      </w:r>
      <w:r w:rsidR="00D47CD6">
        <w:t>,</w:t>
      </w:r>
      <w:r w:rsidR="00C10FA8">
        <w:t xml:space="preserve"> the ACCC understands this</w:t>
      </w:r>
      <w:r w:rsidR="00313E84" w:rsidRPr="00AC2EF0">
        <w:t xml:space="preserve"> standard </w:t>
      </w:r>
      <w:r w:rsidR="00A42E5D">
        <w:t>was approved</w:t>
      </w:r>
      <w:r>
        <w:t xml:space="preserve"> in October 2022</w:t>
      </w:r>
      <w:r w:rsidR="00C10FA8">
        <w:t xml:space="preserve">. </w:t>
      </w:r>
      <w:r w:rsidR="00EE56BE">
        <w:t>T</w:t>
      </w:r>
      <w:r w:rsidR="00D47CD6">
        <w:t xml:space="preserve">he standard </w:t>
      </w:r>
      <w:r w:rsidR="0039056E">
        <w:t xml:space="preserve">is </w:t>
      </w:r>
      <w:r w:rsidR="00D47CD6">
        <w:t>expected</w:t>
      </w:r>
      <w:r w:rsidR="00313E84" w:rsidRPr="00AC2EF0">
        <w:t xml:space="preserve"> </w:t>
      </w:r>
      <w:r w:rsidR="004D27E4" w:rsidRPr="00AC2EF0">
        <w:t xml:space="preserve">take effect 180 days from the date </w:t>
      </w:r>
      <w:r w:rsidR="006234AA" w:rsidRPr="00AC2EF0">
        <w:t>it is registered.</w:t>
      </w:r>
      <w:r w:rsidR="006234AA" w:rsidRPr="00AC2EF0">
        <w:rPr>
          <w:rStyle w:val="FootnoteReference"/>
        </w:rPr>
        <w:footnoteReference w:id="34"/>
      </w:r>
      <w:r w:rsidR="005F6630" w:rsidRPr="00AC2EF0">
        <w:t xml:space="preserve"> The standard include</w:t>
      </w:r>
      <w:r w:rsidR="0097055B">
        <w:t>d</w:t>
      </w:r>
      <w:r w:rsidR="00C67AD8" w:rsidRPr="00AC2EF0">
        <w:t xml:space="preserve"> </w:t>
      </w:r>
      <w:r w:rsidR="005F6630" w:rsidRPr="00AC2EF0">
        <w:t>comprehensive</w:t>
      </w:r>
      <w:r w:rsidR="005F6630">
        <w:t xml:space="preserve"> stability testing for clothing storage units with </w:t>
      </w:r>
      <w:r w:rsidR="00C67AD8">
        <w:t>a unit</w:t>
      </w:r>
      <w:r w:rsidR="002830CA">
        <w:t>’</w:t>
      </w:r>
      <w:r w:rsidR="00C67AD8">
        <w:t xml:space="preserve">s stability rating </w:t>
      </w:r>
      <w:r w:rsidR="005F6630">
        <w:t xml:space="preserve">to be displayed </w:t>
      </w:r>
      <w:r w:rsidR="002830CA">
        <w:t>o</w:t>
      </w:r>
      <w:r w:rsidR="005F6630">
        <w:t>n a hang tag</w:t>
      </w:r>
      <w:r w:rsidR="00DB04B9">
        <w:t>,</w:t>
      </w:r>
      <w:r w:rsidR="005F6630">
        <w:t xml:space="preserve"> and requirements for warning labels. </w:t>
      </w:r>
      <w:r w:rsidR="004F5710">
        <w:t xml:space="preserve">The ACCC </w:t>
      </w:r>
      <w:r w:rsidR="004D0CE4">
        <w:t xml:space="preserve">may </w:t>
      </w:r>
      <w:r w:rsidR="004F5710">
        <w:t>consider this standard as part of any future review.</w:t>
      </w:r>
      <w:r w:rsidR="00A971B3">
        <w:rPr>
          <w:rStyle w:val="FootnoteReference"/>
        </w:rPr>
        <w:footnoteReference w:id="35"/>
      </w:r>
    </w:p>
    <w:p w14:paraId="0B161CA8" w14:textId="00C75F8A" w:rsidR="00A42E5D" w:rsidRDefault="0097055B" w:rsidP="00F05000">
      <w:pPr>
        <w:spacing w:before="120"/>
      </w:pPr>
      <w:r>
        <w:t>As a further development,</w:t>
      </w:r>
      <w:r w:rsidR="00A42E5D">
        <w:t xml:space="preserve"> on 23 December 2022 </w:t>
      </w:r>
      <w:r w:rsidR="00A42E5D" w:rsidRPr="00A42E5D">
        <w:t>the Stop Tip-overs of Unstable, Risky Dressers on Youth (STURDY) Act became law in the United States of America</w:t>
      </w:r>
      <w:r>
        <w:t xml:space="preserve">. </w:t>
      </w:r>
      <w:r w:rsidR="00A42E5D" w:rsidRPr="00A42E5D">
        <w:t>The Sturdy Act only appl</w:t>
      </w:r>
      <w:r>
        <w:t>ies</w:t>
      </w:r>
      <w:r w:rsidR="00A42E5D" w:rsidRPr="00A42E5D">
        <w:t xml:space="preserve"> to clothing storage furniture and will require the US CPSC </w:t>
      </w:r>
      <w:r w:rsidR="009E5607" w:rsidRPr="009E5607">
        <w:t xml:space="preserve">to adopt an updated version of the ASTM International F2057 voluntary standard as a mandatory safety rule, </w:t>
      </w:r>
      <w:r w:rsidR="008A1DFA">
        <w:t>if</w:t>
      </w:r>
      <w:r w:rsidR="009B4948">
        <w:t xml:space="preserve"> the US CPSC considers</w:t>
      </w:r>
      <w:r w:rsidR="009E5607" w:rsidRPr="009E5607">
        <w:t xml:space="preserve"> it meets the performance requirements outlined in the STURDY Act.</w:t>
      </w:r>
      <w:r w:rsidR="00042139">
        <w:t xml:space="preserve"> The revised ASTM standard is anticipated to be released in late February, to then be considered by the US CPSC. </w:t>
      </w:r>
      <w:r w:rsidR="00DB01A2">
        <w:t xml:space="preserve">The American furniture industry </w:t>
      </w:r>
      <w:r w:rsidR="00EF26BA">
        <w:t>is</w:t>
      </w:r>
      <w:r w:rsidR="00DB01A2">
        <w:t xml:space="preserve"> generally more supportive of the Sturdy Act </w:t>
      </w:r>
      <w:r w:rsidR="008A1DFA">
        <w:t>(and ASTM standard) t</w:t>
      </w:r>
      <w:r w:rsidR="00DB01A2">
        <w:t>han the standard drafted by the US CPSC</w:t>
      </w:r>
      <w:r w:rsidR="00EF26BA">
        <w:t>, which was opposed due to its complexity and stability rating system.</w:t>
      </w:r>
    </w:p>
    <w:p w14:paraId="33FC4CFE" w14:textId="77777777" w:rsidR="00485CC9" w:rsidRDefault="00485CC9">
      <w:r>
        <w:br w:type="page"/>
      </w:r>
    </w:p>
    <w:p w14:paraId="7DE52D7C" w14:textId="21268E04" w:rsidR="00CC689E" w:rsidRDefault="00FD6A0A" w:rsidP="00F05000">
      <w:pPr>
        <w:pStyle w:val="Heading1"/>
        <w:spacing w:before="120"/>
      </w:pPr>
      <w:bookmarkStart w:id="352" w:name="_Toc126074130"/>
      <w:r>
        <w:t xml:space="preserve">What </w:t>
      </w:r>
      <w:r w:rsidR="003A30D2">
        <w:t>has informed</w:t>
      </w:r>
      <w:r>
        <w:t xml:space="preserve"> the options?</w:t>
      </w:r>
      <w:bookmarkEnd w:id="352"/>
    </w:p>
    <w:p w14:paraId="2A71AC44" w14:textId="7944CF91" w:rsidR="006330CA" w:rsidRDefault="006330CA" w:rsidP="00F05000">
      <w:pPr>
        <w:pStyle w:val="Heading2"/>
        <w:spacing w:before="120"/>
      </w:pPr>
      <w:bookmarkStart w:id="353" w:name="_Toc126074131"/>
      <w:r>
        <w:t xml:space="preserve">Current </w:t>
      </w:r>
      <w:r w:rsidR="0011262F">
        <w:t>safety</w:t>
      </w:r>
      <w:r>
        <w:t xml:space="preserve"> standards</w:t>
      </w:r>
      <w:bookmarkEnd w:id="353"/>
    </w:p>
    <w:p w14:paraId="4F26E5D1" w14:textId="3A21C4CA" w:rsidR="00727C20" w:rsidRDefault="006330CA" w:rsidP="00F05000">
      <w:pPr>
        <w:spacing w:before="120"/>
      </w:pPr>
      <w:r>
        <w:t>There ar</w:t>
      </w:r>
      <w:r w:rsidR="00AD3C7D">
        <w:t>e a number of</w:t>
      </w:r>
      <w:r w:rsidR="000334D1">
        <w:t xml:space="preserve"> Australian and</w:t>
      </w:r>
      <w:r w:rsidR="00AD3C7D">
        <w:t xml:space="preserve"> </w:t>
      </w:r>
      <w:r>
        <w:t>international standards covering the design and testing of storage furniture</w:t>
      </w:r>
      <w:r w:rsidR="005D2033">
        <w:t>.</w:t>
      </w:r>
      <w:r>
        <w:t xml:space="preserve"> </w:t>
      </w:r>
      <w:r w:rsidR="00727C20" w:rsidRPr="00727C20">
        <w:t xml:space="preserve">Voluntary standards </w:t>
      </w:r>
      <w:r w:rsidR="00C61328">
        <w:t>set out recommended</w:t>
      </w:r>
      <w:r w:rsidR="008E70C4">
        <w:t xml:space="preserve"> </w:t>
      </w:r>
      <w:r w:rsidR="00727C20" w:rsidRPr="00727C20">
        <w:t>specifications and procedures designed to ensure products, services and systems are safe, reliable and consistently perform as intended.</w:t>
      </w:r>
      <w:r w:rsidR="0052081A">
        <w:t xml:space="preserve"> </w:t>
      </w:r>
      <w:r w:rsidR="00184070">
        <w:t xml:space="preserve">Businesses may choose to comply with voluntary standards but are not required to do so. </w:t>
      </w:r>
      <w:r w:rsidR="0052081A">
        <w:t>The variability of standards, as well as the voluntary uptake, can make it difficult and confusing for consumers to assess product safety.</w:t>
      </w:r>
    </w:p>
    <w:p w14:paraId="6B3219E1" w14:textId="0A48F458" w:rsidR="006330CA" w:rsidRPr="008D1988" w:rsidRDefault="006330CA" w:rsidP="00F05000">
      <w:pPr>
        <w:spacing w:before="120"/>
      </w:pPr>
      <w:r>
        <w:t xml:space="preserve">Throughout consultation and research, it became evident </w:t>
      </w:r>
      <w:r w:rsidR="002F3F2A">
        <w:t>the current</w:t>
      </w:r>
      <w:r>
        <w:t xml:space="preserve"> </w:t>
      </w:r>
      <w:r w:rsidR="00444E7C">
        <w:t xml:space="preserve">voluntary </w:t>
      </w:r>
      <w:r>
        <w:t>standard</w:t>
      </w:r>
      <w:r w:rsidR="002F3F2A">
        <w:t>s</w:t>
      </w:r>
      <w:r>
        <w:t xml:space="preserve"> </w:t>
      </w:r>
      <w:r w:rsidR="002F3F2A">
        <w:t>are not adequate to be adopted as</w:t>
      </w:r>
      <w:r>
        <w:t xml:space="preserve"> a mandatory standard. </w:t>
      </w:r>
    </w:p>
    <w:p w14:paraId="7C17C405" w14:textId="6F4034A3" w:rsidR="006330CA" w:rsidRDefault="006330CA" w:rsidP="00F05000">
      <w:pPr>
        <w:spacing w:before="120"/>
      </w:pPr>
      <w:r>
        <w:t>The American</w:t>
      </w:r>
      <w:r w:rsidR="005D2033">
        <w:t xml:space="preserve"> (</w:t>
      </w:r>
      <w:r w:rsidR="005D2033" w:rsidRPr="00AF6193">
        <w:rPr>
          <w:bCs/>
          <w:szCs w:val="20"/>
        </w:rPr>
        <w:t>ASTM F2057-19</w:t>
      </w:r>
      <w:r w:rsidR="005D2033">
        <w:rPr>
          <w:bCs/>
          <w:szCs w:val="20"/>
        </w:rPr>
        <w:t>)</w:t>
      </w:r>
      <w:r>
        <w:t xml:space="preserve"> and Australian standards </w:t>
      </w:r>
      <w:r w:rsidR="005D2033">
        <w:t>(</w:t>
      </w:r>
      <w:r w:rsidR="005D2033" w:rsidRPr="00AF6193">
        <w:rPr>
          <w:bCs/>
          <w:szCs w:val="20"/>
        </w:rPr>
        <w:t xml:space="preserve">AS/NZS 4935:2009 </w:t>
      </w:r>
      <w:r w:rsidR="005D2033">
        <w:rPr>
          <w:bCs/>
          <w:szCs w:val="20"/>
        </w:rPr>
        <w:t xml:space="preserve">) </w:t>
      </w:r>
      <w:r>
        <w:t>which relate to furniture stability are currently under review, and it is likely the test requirements they currently prescribe for stability will change. These reviews are expected to take between 18 and 36 months to complete</w:t>
      </w:r>
      <w:r w:rsidR="00C67D32">
        <w:t>.</w:t>
      </w:r>
      <w:r>
        <w:t xml:space="preserve"> </w:t>
      </w:r>
      <w:r w:rsidR="00C67D32">
        <w:t>I</w:t>
      </w:r>
      <w:r>
        <w:t>f a</w:t>
      </w:r>
      <w:r w:rsidR="00E422F5">
        <w:t xml:space="preserve">n Australian </w:t>
      </w:r>
      <w:r>
        <w:t xml:space="preserve">mandatory </w:t>
      </w:r>
      <w:r w:rsidR="00AD3C7D">
        <w:t>safety standard based on these</w:t>
      </w:r>
      <w:r w:rsidR="00E422F5">
        <w:t xml:space="preserve"> voluntary</w:t>
      </w:r>
      <w:r w:rsidR="00AD3C7D">
        <w:t xml:space="preserve"> </w:t>
      </w:r>
      <w:r>
        <w:t>standard</w:t>
      </w:r>
      <w:r w:rsidR="00AD3C7D">
        <w:t>s</w:t>
      </w:r>
      <w:r>
        <w:t xml:space="preserve"> is developed now, it </w:t>
      </w:r>
      <w:r w:rsidR="00C67D32">
        <w:t xml:space="preserve">would </w:t>
      </w:r>
      <w:r w:rsidR="00062B9E">
        <w:t>shortly be</w:t>
      </w:r>
      <w:r w:rsidR="00DE653F">
        <w:t>come</w:t>
      </w:r>
      <w:r w:rsidR="00062B9E">
        <w:t xml:space="preserve"> obsolete</w:t>
      </w:r>
      <w:r w:rsidR="00183F65">
        <w:t xml:space="preserve"> when those voluntary standards are updated</w:t>
      </w:r>
      <w:r w:rsidR="00062B9E">
        <w:t>.</w:t>
      </w:r>
      <w:r>
        <w:t xml:space="preserve">  </w:t>
      </w:r>
    </w:p>
    <w:p w14:paraId="36C7FA9D" w14:textId="0441EC9E" w:rsidR="006330CA" w:rsidRDefault="006330CA" w:rsidP="00F05000">
      <w:pPr>
        <w:spacing w:before="120"/>
      </w:pPr>
      <w:r>
        <w:t xml:space="preserve">Other </w:t>
      </w:r>
      <w:r w:rsidR="002354A2">
        <w:t>i</w:t>
      </w:r>
      <w:r>
        <w:t>nternational standards cannot be usefully referenced because they only outline test protocols and do not establish minimum stability requirements.</w:t>
      </w:r>
    </w:p>
    <w:p w14:paraId="4D130510" w14:textId="230F6C42" w:rsidR="002D0DBA" w:rsidRDefault="00AB573B" w:rsidP="00F05000">
      <w:pPr>
        <w:spacing w:before="120"/>
      </w:pPr>
      <w:r>
        <w:t>The</w:t>
      </w:r>
      <w:r w:rsidR="00C91627">
        <w:t xml:space="preserve"> US CPSC safety standard </w:t>
      </w:r>
      <w:r w:rsidR="00676CB0">
        <w:t>for clothing storage units</w:t>
      </w:r>
      <w:r w:rsidR="00D03A19">
        <w:t>, once implemented,</w:t>
      </w:r>
      <w:r w:rsidR="009D2CC3">
        <w:t xml:space="preserve"> may provide an appropriate benchmark from which to model a</w:t>
      </w:r>
      <w:r w:rsidR="008D3D6B">
        <w:t xml:space="preserve"> mandatory</w:t>
      </w:r>
      <w:r w:rsidR="009D2CC3">
        <w:t xml:space="preserve"> Australian standard</w:t>
      </w:r>
      <w:r w:rsidR="00270363">
        <w:t xml:space="preserve"> in </w:t>
      </w:r>
      <w:r w:rsidR="00DE653F">
        <w:t xml:space="preserve">relation to </w:t>
      </w:r>
      <w:r w:rsidR="00616E07">
        <w:t>clothing storage</w:t>
      </w:r>
      <w:r w:rsidR="00DE653F">
        <w:t xml:space="preserve"> furniture</w:t>
      </w:r>
      <w:r w:rsidR="009D2CC3">
        <w:t xml:space="preserve">. </w:t>
      </w:r>
      <w:r w:rsidR="00D03A19">
        <w:t>However, this standard does not include all categories of furniture that the ACCC is conce</w:t>
      </w:r>
      <w:r w:rsidR="003239E9">
        <w:t>rned about so would need to be assessed and adapted for Australia.</w:t>
      </w:r>
      <w:r w:rsidR="002D0DBA">
        <w:br/>
      </w:r>
    </w:p>
    <w:p w14:paraId="5545B3C0" w14:textId="48DF2D0F" w:rsidR="00B55AF1" w:rsidRDefault="00B55AF1" w:rsidP="00F05000">
      <w:pPr>
        <w:pStyle w:val="Heading2"/>
        <w:spacing w:before="120"/>
      </w:pPr>
      <w:bookmarkStart w:id="354" w:name="_Toc126074132"/>
      <w:r>
        <w:t>Furniture</w:t>
      </w:r>
      <w:r w:rsidR="00402AA9">
        <w:t xml:space="preserve"> stability</w:t>
      </w:r>
      <w:r>
        <w:t xml:space="preserve"> testing</w:t>
      </w:r>
      <w:bookmarkEnd w:id="354"/>
    </w:p>
    <w:p w14:paraId="2DB44EFB" w14:textId="1CF96173" w:rsidR="00221CF3" w:rsidRDefault="00221CF3" w:rsidP="00F05000">
      <w:pPr>
        <w:spacing w:before="120"/>
        <w:rPr>
          <w:rFonts w:ascii="Times New Roman" w:hAnsi="Times New Roman" w:cs="Times New Roman"/>
          <w:sz w:val="24"/>
          <w:szCs w:val="24"/>
          <w:lang w:eastAsia="en-AU"/>
        </w:rPr>
      </w:pPr>
      <w:r>
        <w:t xml:space="preserve">Furntech </w:t>
      </w:r>
      <w:r w:rsidR="00DE653F">
        <w:t xml:space="preserve">advised they </w:t>
      </w:r>
      <w:r w:rsidR="007A0C0D">
        <w:t>are</w:t>
      </w:r>
      <w:r>
        <w:t xml:space="preserve"> rarely commissioned to test </w:t>
      </w:r>
      <w:r w:rsidR="006A722C">
        <w:t xml:space="preserve">domestic storage </w:t>
      </w:r>
      <w:r>
        <w:t>furniture to the</w:t>
      </w:r>
      <w:r w:rsidR="00D27F55">
        <w:t xml:space="preserve"> voluntary</w:t>
      </w:r>
      <w:r>
        <w:t xml:space="preserve"> Australian standard</w:t>
      </w:r>
      <w:r w:rsidR="005D2033">
        <w:t xml:space="preserve"> (</w:t>
      </w:r>
      <w:r w:rsidR="005D2033" w:rsidRPr="00AF6193">
        <w:rPr>
          <w:bCs/>
          <w:szCs w:val="20"/>
        </w:rPr>
        <w:t>AS/NZS 4935:2009</w:t>
      </w:r>
      <w:r w:rsidR="005D2033">
        <w:rPr>
          <w:bCs/>
          <w:szCs w:val="20"/>
        </w:rPr>
        <w:t>)</w:t>
      </w:r>
      <w:r w:rsidR="005E6B14">
        <w:t>. Since</w:t>
      </w:r>
      <w:r w:rsidR="00D74DAD">
        <w:t xml:space="preserve"> 2009</w:t>
      </w:r>
      <w:r w:rsidR="005E6B14">
        <w:t xml:space="preserve"> </w:t>
      </w:r>
      <w:r w:rsidR="00D74DAD">
        <w:t xml:space="preserve">Furntech has only been commissioned to test products under the voluntary standards on behalf of the ACCC (in relation to developing this standard) and one other entity. </w:t>
      </w:r>
      <w:r w:rsidR="00483AC8">
        <w:t xml:space="preserve">Based on </w:t>
      </w:r>
      <w:r w:rsidR="00D74DAD">
        <w:t xml:space="preserve">this </w:t>
      </w:r>
      <w:r w:rsidR="00483AC8">
        <w:t xml:space="preserve">experience, </w:t>
      </w:r>
      <w:r w:rsidR="00840292">
        <w:t>Furntech estimated that</w:t>
      </w:r>
      <w:r>
        <w:t xml:space="preserve"> </w:t>
      </w:r>
      <w:r w:rsidRPr="001B507A">
        <w:t xml:space="preserve">approximately </w:t>
      </w:r>
      <w:r w:rsidRPr="00AD2F3D">
        <w:t>75</w:t>
      </w:r>
      <w:r w:rsidR="008942E9" w:rsidRPr="00AD2F3D">
        <w:t>%</w:t>
      </w:r>
      <w:r w:rsidRPr="00AD2F3D">
        <w:t xml:space="preserve"> of </w:t>
      </w:r>
      <w:r w:rsidR="00840292" w:rsidRPr="00AD2F3D">
        <w:t>furniture</w:t>
      </w:r>
      <w:r w:rsidR="00840292" w:rsidRPr="001B507A">
        <w:t xml:space="preserve"> </w:t>
      </w:r>
      <w:r w:rsidRPr="001B507A">
        <w:t>available</w:t>
      </w:r>
      <w:r>
        <w:t xml:space="preserve"> on the market </w:t>
      </w:r>
      <w:r w:rsidR="00483AC8">
        <w:t xml:space="preserve">(relevant to this recommendation) </w:t>
      </w:r>
      <w:r>
        <w:t xml:space="preserve">would not meet stability requirements specified by the </w:t>
      </w:r>
      <w:r w:rsidR="00906050">
        <w:t xml:space="preserve">voluntary </w:t>
      </w:r>
      <w:r>
        <w:t xml:space="preserve">Australian standard. </w:t>
      </w:r>
      <w:r>
        <w:rPr>
          <w:rFonts w:ascii="Times New Roman" w:hAnsi="Times New Roman" w:cs="Times New Roman"/>
          <w:sz w:val="24"/>
          <w:szCs w:val="24"/>
          <w:lang w:eastAsia="en-AU"/>
        </w:rPr>
        <w:t xml:space="preserve"> </w:t>
      </w:r>
    </w:p>
    <w:p w14:paraId="7831A612" w14:textId="48E528D5" w:rsidR="00840292" w:rsidRDefault="00840292" w:rsidP="00F05000">
      <w:pPr>
        <w:spacing w:before="120"/>
        <w:rPr>
          <w:lang w:eastAsia="en-AU"/>
        </w:rPr>
      </w:pPr>
      <w:r>
        <w:rPr>
          <w:lang w:eastAsia="en-AU"/>
        </w:rPr>
        <w:t xml:space="preserve">To better understand the </w:t>
      </w:r>
      <w:r w:rsidR="00483AC8">
        <w:rPr>
          <w:lang w:eastAsia="en-AU"/>
        </w:rPr>
        <w:t>current safety environment for</w:t>
      </w:r>
      <w:r>
        <w:rPr>
          <w:lang w:eastAsia="en-AU"/>
        </w:rPr>
        <w:t xml:space="preserve"> furniture </w:t>
      </w:r>
      <w:r w:rsidR="00483AC8">
        <w:rPr>
          <w:lang w:eastAsia="en-AU"/>
        </w:rPr>
        <w:t>in Australia</w:t>
      </w:r>
      <w:r>
        <w:rPr>
          <w:lang w:eastAsia="en-AU"/>
        </w:rPr>
        <w:t xml:space="preserve">, the ACCC commissioned testing </w:t>
      </w:r>
      <w:r w:rsidR="00483AC8">
        <w:rPr>
          <w:lang w:eastAsia="en-AU"/>
        </w:rPr>
        <w:t>of chests of drawers,</w:t>
      </w:r>
      <w:r>
        <w:rPr>
          <w:lang w:eastAsia="en-AU"/>
        </w:rPr>
        <w:t xml:space="preserve"> </w:t>
      </w:r>
      <w:r w:rsidR="00FF60F5">
        <w:rPr>
          <w:lang w:eastAsia="en-AU"/>
        </w:rPr>
        <w:t>free</w:t>
      </w:r>
      <w:r w:rsidR="00D27F55">
        <w:rPr>
          <w:lang w:eastAsia="en-AU"/>
        </w:rPr>
        <w:t>-</w:t>
      </w:r>
      <w:r w:rsidR="00FF60F5">
        <w:rPr>
          <w:lang w:eastAsia="en-AU"/>
        </w:rPr>
        <w:t>standing wardrobes and</w:t>
      </w:r>
      <w:r w:rsidR="0082761C">
        <w:rPr>
          <w:lang w:eastAsia="en-AU"/>
        </w:rPr>
        <w:t xml:space="preserve"> shelves. Product</w:t>
      </w:r>
      <w:r w:rsidR="00E86464">
        <w:rPr>
          <w:lang w:eastAsia="en-AU"/>
        </w:rPr>
        <w:t>s</w:t>
      </w:r>
      <w:r w:rsidR="00200437">
        <w:rPr>
          <w:lang w:eastAsia="en-AU"/>
        </w:rPr>
        <w:t xml:space="preserve"> </w:t>
      </w:r>
      <w:r w:rsidR="00E86464">
        <w:rPr>
          <w:lang w:eastAsia="en-AU"/>
        </w:rPr>
        <w:t>were selected</w:t>
      </w:r>
      <w:r w:rsidR="00370C46">
        <w:rPr>
          <w:lang w:eastAsia="en-AU"/>
        </w:rPr>
        <w:t xml:space="preserve"> </w:t>
      </w:r>
      <w:r w:rsidR="00E86464">
        <w:rPr>
          <w:lang w:eastAsia="en-AU"/>
        </w:rPr>
        <w:t>to provide</w:t>
      </w:r>
      <w:r w:rsidR="00200437">
        <w:rPr>
          <w:lang w:eastAsia="en-AU"/>
        </w:rPr>
        <w:t xml:space="preserve"> a sample of the current market. Particular attention was given to popular</w:t>
      </w:r>
      <w:r w:rsidR="00E86464">
        <w:rPr>
          <w:lang w:eastAsia="en-AU"/>
        </w:rPr>
        <w:t>ity</w:t>
      </w:r>
      <w:r w:rsidR="00200437">
        <w:rPr>
          <w:lang w:eastAsia="en-AU"/>
        </w:rPr>
        <w:t xml:space="preserve"> due to price point or style, and items that are more likely to be in a child’s bedroom.</w:t>
      </w:r>
    </w:p>
    <w:p w14:paraId="13B6C2D2" w14:textId="2486DFCA" w:rsidR="00AE4039" w:rsidRDefault="001B507A" w:rsidP="00F05000">
      <w:pPr>
        <w:spacing w:before="120"/>
        <w:rPr>
          <w:lang w:eastAsia="en-AU"/>
        </w:rPr>
      </w:pPr>
      <w:r>
        <w:rPr>
          <w:lang w:eastAsia="en-AU"/>
        </w:rPr>
        <w:t xml:space="preserve">Furntech tested the sample items </w:t>
      </w:r>
      <w:r w:rsidR="00136ABD">
        <w:rPr>
          <w:lang w:eastAsia="en-AU"/>
        </w:rPr>
        <w:t xml:space="preserve">against </w:t>
      </w:r>
      <w:r w:rsidR="00AE4039">
        <w:rPr>
          <w:lang w:eastAsia="en-AU"/>
        </w:rPr>
        <w:t xml:space="preserve">relevant </w:t>
      </w:r>
      <w:r w:rsidR="00312EE9">
        <w:rPr>
          <w:lang w:eastAsia="en-AU"/>
        </w:rPr>
        <w:t xml:space="preserve">industry standards </w:t>
      </w:r>
      <w:r w:rsidR="00AE4039">
        <w:rPr>
          <w:lang w:eastAsia="en-AU"/>
        </w:rPr>
        <w:t>(including</w:t>
      </w:r>
      <w:r w:rsidR="00312EE9">
        <w:rPr>
          <w:lang w:eastAsia="en-AU"/>
        </w:rPr>
        <w:t xml:space="preserve"> the approach proposed by the US CPSC</w:t>
      </w:r>
      <w:r w:rsidR="00C25B5A">
        <w:rPr>
          <w:rStyle w:val="FootnoteReference"/>
          <w:lang w:eastAsia="en-AU"/>
        </w:rPr>
        <w:footnoteReference w:id="36"/>
      </w:r>
      <w:r w:rsidR="00AE4039">
        <w:rPr>
          <w:lang w:eastAsia="en-AU"/>
        </w:rPr>
        <w:t>)</w:t>
      </w:r>
      <w:r w:rsidR="00312EE9">
        <w:rPr>
          <w:lang w:eastAsia="en-AU"/>
        </w:rPr>
        <w:t xml:space="preserve">. </w:t>
      </w:r>
      <w:r w:rsidR="00292AE1">
        <w:rPr>
          <w:lang w:eastAsia="en-AU"/>
        </w:rPr>
        <w:t>Test results indicate</w:t>
      </w:r>
      <w:r w:rsidR="00312EE9" w:rsidRPr="00312EE9">
        <w:rPr>
          <w:lang w:eastAsia="en-AU"/>
        </w:rPr>
        <w:t xml:space="preserve"> </w:t>
      </w:r>
      <w:r w:rsidR="00462608" w:rsidRPr="00312EE9">
        <w:rPr>
          <w:lang w:eastAsia="en-AU"/>
        </w:rPr>
        <w:t>most</w:t>
      </w:r>
      <w:r w:rsidR="00312EE9" w:rsidRPr="00312EE9">
        <w:rPr>
          <w:lang w:eastAsia="en-AU"/>
        </w:rPr>
        <w:t xml:space="preserve"> items </w:t>
      </w:r>
      <w:r w:rsidR="00312EE9">
        <w:rPr>
          <w:lang w:eastAsia="en-AU"/>
        </w:rPr>
        <w:t>(approximately 70%)</w:t>
      </w:r>
      <w:r w:rsidR="00312EE9" w:rsidRPr="00312EE9">
        <w:rPr>
          <w:lang w:eastAsia="en-AU"/>
        </w:rPr>
        <w:t xml:space="preserve"> would not pass </w:t>
      </w:r>
      <w:r w:rsidR="00AE4039">
        <w:rPr>
          <w:lang w:eastAsia="en-AU"/>
        </w:rPr>
        <w:t>current stability tests</w:t>
      </w:r>
      <w:r w:rsidR="00312EE9" w:rsidRPr="00312EE9">
        <w:rPr>
          <w:lang w:eastAsia="en-AU"/>
        </w:rPr>
        <w:t xml:space="preserve">. </w:t>
      </w:r>
    </w:p>
    <w:p w14:paraId="2FF6F6CC" w14:textId="654407D8" w:rsidR="001B507A" w:rsidRDefault="00724A66" w:rsidP="00F05000">
      <w:pPr>
        <w:spacing w:before="120"/>
        <w:rPr>
          <w:lang w:eastAsia="en-AU"/>
        </w:rPr>
      </w:pPr>
      <w:r>
        <w:rPr>
          <w:lang w:eastAsia="en-AU"/>
        </w:rPr>
        <w:t>The ACCC considers that t</w:t>
      </w:r>
      <w:r w:rsidR="00462608">
        <w:rPr>
          <w:lang w:eastAsia="en-AU"/>
        </w:rPr>
        <w:t>he high failure rate</w:t>
      </w:r>
      <w:r w:rsidR="00F431A7">
        <w:rPr>
          <w:lang w:eastAsia="en-AU"/>
        </w:rPr>
        <w:t xml:space="preserve"> and lack of </w:t>
      </w:r>
      <w:r>
        <w:rPr>
          <w:lang w:eastAsia="en-AU"/>
        </w:rPr>
        <w:t>testing</w:t>
      </w:r>
      <w:r w:rsidR="00F431A7">
        <w:rPr>
          <w:lang w:eastAsia="en-AU"/>
        </w:rPr>
        <w:t xml:space="preserve"> consisten</w:t>
      </w:r>
      <w:r>
        <w:rPr>
          <w:lang w:eastAsia="en-AU"/>
        </w:rPr>
        <w:t>cy</w:t>
      </w:r>
      <w:r w:rsidR="00F431A7">
        <w:rPr>
          <w:lang w:eastAsia="en-AU"/>
        </w:rPr>
        <w:t xml:space="preserve"> could result in </w:t>
      </w:r>
      <w:r>
        <w:rPr>
          <w:lang w:eastAsia="en-AU"/>
        </w:rPr>
        <w:t xml:space="preserve">disruption and </w:t>
      </w:r>
      <w:r w:rsidR="00F431A7">
        <w:rPr>
          <w:lang w:eastAsia="en-AU"/>
        </w:rPr>
        <w:t>confusion for industry</w:t>
      </w:r>
      <w:r>
        <w:rPr>
          <w:lang w:eastAsia="en-AU"/>
        </w:rPr>
        <w:t>,</w:t>
      </w:r>
      <w:r w:rsidR="00F431A7">
        <w:rPr>
          <w:lang w:eastAsia="en-AU"/>
        </w:rPr>
        <w:t xml:space="preserve"> and reduced choice for consumers</w:t>
      </w:r>
      <w:r>
        <w:rPr>
          <w:lang w:eastAsia="en-AU"/>
        </w:rPr>
        <w:t>,</w:t>
      </w:r>
      <w:r w:rsidR="00AE4039">
        <w:rPr>
          <w:lang w:eastAsia="en-AU"/>
        </w:rPr>
        <w:t xml:space="preserve"> if these requirements were mandated in their current form</w:t>
      </w:r>
      <w:r w:rsidR="00F431A7">
        <w:rPr>
          <w:lang w:eastAsia="en-AU"/>
        </w:rPr>
        <w:t>.</w:t>
      </w:r>
    </w:p>
    <w:p w14:paraId="1328E513" w14:textId="7F00B71D" w:rsidR="003167B7" w:rsidRDefault="003167B7">
      <w:pPr>
        <w:rPr>
          <w:highlight w:val="yellow"/>
          <w:lang w:eastAsia="en-AU"/>
        </w:rPr>
      </w:pPr>
    </w:p>
    <w:p w14:paraId="39343A9C" w14:textId="32332E33" w:rsidR="00F97EAE" w:rsidRDefault="00FD6A0A" w:rsidP="00F05000">
      <w:pPr>
        <w:pStyle w:val="Heading1"/>
        <w:spacing w:before="120"/>
      </w:pPr>
      <w:bookmarkStart w:id="355" w:name="_Toc113977098"/>
      <w:bookmarkStart w:id="356" w:name="_Toc114039197"/>
      <w:bookmarkStart w:id="357" w:name="_Toc114142864"/>
      <w:bookmarkStart w:id="358" w:name="_Toc114232563"/>
      <w:bookmarkStart w:id="359" w:name="_Toc114233041"/>
      <w:bookmarkStart w:id="360" w:name="_Toc114233518"/>
      <w:bookmarkStart w:id="361" w:name="_Toc115341188"/>
      <w:bookmarkStart w:id="362" w:name="_Toc115341697"/>
      <w:bookmarkStart w:id="363" w:name="_Toc115342206"/>
      <w:bookmarkStart w:id="364" w:name="_Toc113977099"/>
      <w:bookmarkStart w:id="365" w:name="_Toc114039198"/>
      <w:bookmarkStart w:id="366" w:name="_Toc114142865"/>
      <w:bookmarkStart w:id="367" w:name="_Toc114232564"/>
      <w:bookmarkStart w:id="368" w:name="_Toc114233042"/>
      <w:bookmarkStart w:id="369" w:name="_Toc114233519"/>
      <w:bookmarkStart w:id="370" w:name="_Toc115341189"/>
      <w:bookmarkStart w:id="371" w:name="_Toc115341698"/>
      <w:bookmarkStart w:id="372" w:name="_Toc115342207"/>
      <w:bookmarkStart w:id="373" w:name="_Toc113977166"/>
      <w:bookmarkStart w:id="374" w:name="_Toc114039265"/>
      <w:bookmarkStart w:id="375" w:name="_Toc114142932"/>
      <w:bookmarkStart w:id="376" w:name="_Toc114232631"/>
      <w:bookmarkStart w:id="377" w:name="_Toc114233109"/>
      <w:bookmarkStart w:id="378" w:name="_Toc114233586"/>
      <w:bookmarkStart w:id="379" w:name="_Toc115341256"/>
      <w:bookmarkStart w:id="380" w:name="_Toc115341765"/>
      <w:bookmarkStart w:id="381" w:name="_Toc115342274"/>
      <w:bookmarkStart w:id="382" w:name="_Toc113977173"/>
      <w:bookmarkStart w:id="383" w:name="_Toc114039272"/>
      <w:bookmarkStart w:id="384" w:name="_Toc114142939"/>
      <w:bookmarkStart w:id="385" w:name="_Toc114232638"/>
      <w:bookmarkStart w:id="386" w:name="_Toc114233116"/>
      <w:bookmarkStart w:id="387" w:name="_Toc114233593"/>
      <w:bookmarkStart w:id="388" w:name="_Toc115341263"/>
      <w:bookmarkStart w:id="389" w:name="_Toc115341772"/>
      <w:bookmarkStart w:id="390" w:name="_Toc115342281"/>
      <w:bookmarkStart w:id="391" w:name="_Toc113977174"/>
      <w:bookmarkStart w:id="392" w:name="_Toc114039273"/>
      <w:bookmarkStart w:id="393" w:name="_Toc114142940"/>
      <w:bookmarkStart w:id="394" w:name="_Toc114232639"/>
      <w:bookmarkStart w:id="395" w:name="_Toc114233117"/>
      <w:bookmarkStart w:id="396" w:name="_Toc114233594"/>
      <w:bookmarkStart w:id="397" w:name="_Toc115341264"/>
      <w:bookmarkStart w:id="398" w:name="_Toc115341773"/>
      <w:bookmarkStart w:id="399" w:name="_Toc115342282"/>
      <w:bookmarkStart w:id="400" w:name="_Toc113977175"/>
      <w:bookmarkStart w:id="401" w:name="_Toc114039274"/>
      <w:bookmarkStart w:id="402" w:name="_Toc114142941"/>
      <w:bookmarkStart w:id="403" w:name="_Toc114232640"/>
      <w:bookmarkStart w:id="404" w:name="_Toc114233118"/>
      <w:bookmarkStart w:id="405" w:name="_Toc114233595"/>
      <w:bookmarkStart w:id="406" w:name="_Toc115341265"/>
      <w:bookmarkStart w:id="407" w:name="_Toc115341774"/>
      <w:bookmarkStart w:id="408" w:name="_Toc115342283"/>
      <w:bookmarkStart w:id="409" w:name="_Toc113977176"/>
      <w:bookmarkStart w:id="410" w:name="_Toc114039275"/>
      <w:bookmarkStart w:id="411" w:name="_Toc114142942"/>
      <w:bookmarkStart w:id="412" w:name="_Toc114232641"/>
      <w:bookmarkStart w:id="413" w:name="_Toc114233119"/>
      <w:bookmarkStart w:id="414" w:name="_Toc114233596"/>
      <w:bookmarkStart w:id="415" w:name="_Toc115341266"/>
      <w:bookmarkStart w:id="416" w:name="_Toc115341775"/>
      <w:bookmarkStart w:id="417" w:name="_Toc115342284"/>
      <w:bookmarkStart w:id="418" w:name="_Toc113977179"/>
      <w:bookmarkStart w:id="419" w:name="_Toc114039278"/>
      <w:bookmarkStart w:id="420" w:name="_Toc114142945"/>
      <w:bookmarkStart w:id="421" w:name="_Toc114232644"/>
      <w:bookmarkStart w:id="422" w:name="_Toc114233122"/>
      <w:bookmarkStart w:id="423" w:name="_Toc114233599"/>
      <w:bookmarkStart w:id="424" w:name="_Toc115341269"/>
      <w:bookmarkStart w:id="425" w:name="_Toc115341778"/>
      <w:bookmarkStart w:id="426" w:name="_Toc115342287"/>
      <w:bookmarkStart w:id="427" w:name="_Toc116285616"/>
      <w:bookmarkStart w:id="428" w:name="_Toc116290708"/>
      <w:bookmarkStart w:id="429" w:name="_Toc99466248"/>
      <w:bookmarkStart w:id="430" w:name="_Toc126074133"/>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t>What are the r</w:t>
      </w:r>
      <w:r w:rsidR="006B7C99">
        <w:t>egulatory</w:t>
      </w:r>
      <w:r w:rsidR="006B7C99" w:rsidRPr="00F05000">
        <w:t xml:space="preserve"> </w:t>
      </w:r>
      <w:r w:rsidR="00F97EAE" w:rsidRPr="00F05000">
        <w:t>options</w:t>
      </w:r>
      <w:bookmarkEnd w:id="429"/>
      <w:r>
        <w:t>?</w:t>
      </w:r>
      <w:bookmarkEnd w:id="430"/>
    </w:p>
    <w:p w14:paraId="4557DD74" w14:textId="124C089D" w:rsidR="00406826" w:rsidRDefault="00535521" w:rsidP="00F05000">
      <w:pPr>
        <w:pStyle w:val="Heading2"/>
        <w:spacing w:before="120"/>
      </w:pPr>
      <w:bookmarkStart w:id="431" w:name="_Toc126074134"/>
      <w:r>
        <w:t>R</w:t>
      </w:r>
      <w:r w:rsidR="00AA119A">
        <w:t>egulatory options</w:t>
      </w:r>
      <w:r>
        <w:t xml:space="preserve"> under the ACL</w:t>
      </w:r>
      <w:bookmarkEnd w:id="431"/>
    </w:p>
    <w:p w14:paraId="513D87C9" w14:textId="77777777" w:rsidR="00406826" w:rsidRPr="00C1120A" w:rsidRDefault="00406826" w:rsidP="00406826">
      <w:pPr>
        <w:spacing w:before="120"/>
      </w:pPr>
      <w:r w:rsidRPr="003E552F">
        <w:t>Under the ACL, the responsible Commonwealth Minister has a number of</w:t>
      </w:r>
      <w:r w:rsidRPr="009F3E49">
        <w:t xml:space="preserve"> regulatory options to help prevent or reduce the </w:t>
      </w:r>
      <w:r w:rsidRPr="00C02CE9">
        <w:t>risk of injury associated with storage</w:t>
      </w:r>
      <w:r w:rsidRPr="00C1120A">
        <w:t xml:space="preserve"> furniture, including:</w:t>
      </w:r>
    </w:p>
    <w:p w14:paraId="408F11CC" w14:textId="77777777" w:rsidR="00406826" w:rsidRPr="00B66F23" w:rsidRDefault="00406826" w:rsidP="00806096">
      <w:pPr>
        <w:pStyle w:val="ListParagraph"/>
        <w:numPr>
          <w:ilvl w:val="0"/>
          <w:numId w:val="35"/>
        </w:numPr>
      </w:pPr>
      <w:r w:rsidRPr="00B66F23">
        <w:t>a mandatory safety standard under section 104 of the ACL requiring storage furniture to meet minimum stability requirements, have anchor kits integrated into the design or be supplied with products, and provide warnings and safety information on the product, packaging and in assembly instructions.</w:t>
      </w:r>
      <w:r w:rsidRPr="00B66F23">
        <w:rPr>
          <w:rStyle w:val="FootnoteReference"/>
        </w:rPr>
        <w:t xml:space="preserve"> </w:t>
      </w:r>
    </w:p>
    <w:p w14:paraId="4BAA888A" w14:textId="77777777" w:rsidR="00406826" w:rsidRPr="00B66F23" w:rsidRDefault="00406826" w:rsidP="00806096">
      <w:pPr>
        <w:pStyle w:val="ListParagraph"/>
        <w:numPr>
          <w:ilvl w:val="0"/>
          <w:numId w:val="35"/>
        </w:numPr>
      </w:pPr>
      <w:r w:rsidRPr="00B66F23">
        <w:t>a mandatory information standard made under section 134 of the ACL requiring the provision of warnings and safety information be provided on the product, packaging and in assembly instructions (instore and online).</w:t>
      </w:r>
      <w:r w:rsidRPr="00B66F23">
        <w:rPr>
          <w:rStyle w:val="FootnoteReference"/>
        </w:rPr>
        <w:t xml:space="preserve"> </w:t>
      </w:r>
    </w:p>
    <w:p w14:paraId="6844F045" w14:textId="77777777" w:rsidR="00406826" w:rsidRPr="00B66F23" w:rsidRDefault="00406826" w:rsidP="00806096">
      <w:pPr>
        <w:pStyle w:val="ListParagraph"/>
        <w:numPr>
          <w:ilvl w:val="0"/>
          <w:numId w:val="35"/>
        </w:numPr>
      </w:pPr>
      <w:r w:rsidRPr="00B66F23">
        <w:t>a safety warning notice made under sections 129 and 130 of the ACL to inform consumers and suppliers that toppling furniture when used in reasonably foreseeable ways may injure someone directly, warning of possible risks.</w:t>
      </w:r>
    </w:p>
    <w:p w14:paraId="37C2749D" w14:textId="77777777" w:rsidR="00406826" w:rsidRPr="00B66F23" w:rsidRDefault="00406826" w:rsidP="00806096">
      <w:pPr>
        <w:pStyle w:val="ListParagraph"/>
        <w:numPr>
          <w:ilvl w:val="0"/>
          <w:numId w:val="35"/>
        </w:numPr>
      </w:pPr>
      <w:r w:rsidRPr="00B66F23">
        <w:t>interim and permanent bans under section 109 and section 114 of the ACL.</w:t>
      </w:r>
    </w:p>
    <w:p w14:paraId="3A0073F1" w14:textId="27C58524" w:rsidR="00406826" w:rsidRDefault="00406826" w:rsidP="00806096">
      <w:pPr>
        <w:pStyle w:val="ListParagraph"/>
        <w:numPr>
          <w:ilvl w:val="0"/>
          <w:numId w:val="35"/>
        </w:numPr>
      </w:pPr>
      <w:r w:rsidRPr="00B66F23">
        <w:t>a compulsory recall notice under section 122 of the ACL can be issued where a certain type of product poses a safety risk and voluntary recall action is not effective.</w:t>
      </w:r>
    </w:p>
    <w:p w14:paraId="5F918294" w14:textId="4FBF0A6A" w:rsidR="00535521" w:rsidRPr="00B66F23" w:rsidRDefault="00535521" w:rsidP="00535521">
      <w:r>
        <w:t xml:space="preserve">Given the enduring trend of toppling furniture injuries and deaths, the ACCC has decided to focus on pre-emptive risk mitigation strategies (mandatory standards) rather than reactive options such as warning notices, bans or recalls to better address the problem. </w:t>
      </w:r>
    </w:p>
    <w:p w14:paraId="1F0151DE" w14:textId="1B8E8382" w:rsidR="003417A7" w:rsidRPr="00F05000" w:rsidRDefault="003417A7" w:rsidP="00F05000">
      <w:pPr>
        <w:pStyle w:val="Heading2"/>
        <w:spacing w:before="120"/>
      </w:pPr>
      <w:bookmarkStart w:id="432" w:name="_Toc126074135"/>
      <w:r>
        <w:t xml:space="preserve">Assessing the </w:t>
      </w:r>
      <w:r w:rsidR="0057743E">
        <w:t>r</w:t>
      </w:r>
      <w:r>
        <w:t>egulatory options</w:t>
      </w:r>
      <w:bookmarkEnd w:id="432"/>
    </w:p>
    <w:p w14:paraId="0819186A" w14:textId="64BE5B6A" w:rsidR="00077B3D" w:rsidRDefault="0057743E" w:rsidP="00F05000">
      <w:pPr>
        <w:spacing w:before="120"/>
      </w:pPr>
      <w:bookmarkStart w:id="433" w:name="_Hlk95998353"/>
      <w:r>
        <w:t>At this time, ACCC is of the view that</w:t>
      </w:r>
      <w:r w:rsidR="00597F36">
        <w:t xml:space="preserve"> </w:t>
      </w:r>
      <w:r>
        <w:t>a mandatory information standard</w:t>
      </w:r>
      <w:r w:rsidR="00597F36">
        <w:t xml:space="preserve"> (Option 2)</w:t>
      </w:r>
      <w:r>
        <w:t xml:space="preserve"> </w:t>
      </w:r>
      <w:r w:rsidR="007861EB">
        <w:t>is</w:t>
      </w:r>
      <w:r w:rsidR="00DA7D0B">
        <w:t xml:space="preserve"> </w:t>
      </w:r>
      <w:r w:rsidR="007861EB">
        <w:t>the most</w:t>
      </w:r>
      <w:r w:rsidR="00FA4263">
        <w:t xml:space="preserve"> effective,</w:t>
      </w:r>
      <w:r w:rsidR="007861EB">
        <w:t xml:space="preserve"> practical and timely option to reduce the risk of injury </w:t>
      </w:r>
      <w:r w:rsidR="00E97B1F">
        <w:t xml:space="preserve">and death </w:t>
      </w:r>
      <w:r w:rsidR="007861EB">
        <w:t xml:space="preserve">caused by toppling furniture. </w:t>
      </w:r>
    </w:p>
    <w:p w14:paraId="43BAD6E1" w14:textId="5ECF5B5B" w:rsidR="00597F36" w:rsidRDefault="007D4710" w:rsidP="00F05000">
      <w:pPr>
        <w:spacing w:before="120"/>
      </w:pPr>
      <w:r>
        <w:t>S</w:t>
      </w:r>
      <w:r w:rsidR="008D139A">
        <w:t xml:space="preserve">takeholder responses have informed the preferred option, having regard to both quantitative and qualitative considerations including </w:t>
      </w:r>
      <w:r w:rsidR="008D139A" w:rsidRPr="004C396F">
        <w:t>the cost to industry and effectiveness at preventing or reducing the risk of injury and death.</w:t>
      </w:r>
      <w:r w:rsidR="008D139A">
        <w:t xml:space="preserve"> </w:t>
      </w:r>
    </w:p>
    <w:p w14:paraId="751864E5" w14:textId="53A5B32C" w:rsidR="008D139A" w:rsidRPr="004C396F" w:rsidRDefault="008D139A" w:rsidP="00F05000">
      <w:pPr>
        <w:spacing w:before="120"/>
      </w:pPr>
      <w:r>
        <w:t xml:space="preserve">Benefits and costs for each option </w:t>
      </w:r>
      <w:r w:rsidR="00E86464">
        <w:t xml:space="preserve">were </w:t>
      </w:r>
      <w:r w:rsidR="00597F36">
        <w:t xml:space="preserve">also considered, </w:t>
      </w:r>
      <w:r w:rsidR="00E86464">
        <w:t>noting they contain a</w:t>
      </w:r>
      <w:r>
        <w:t xml:space="preserve"> degree of uncertainty</w:t>
      </w:r>
      <w:r w:rsidR="00597F36">
        <w:t xml:space="preserve">. </w:t>
      </w:r>
      <w:r w:rsidR="00DA7D0B">
        <w:t>There is limited specific market information</w:t>
      </w:r>
      <w:r w:rsidR="00E86464">
        <w:t xml:space="preserve"> available</w:t>
      </w:r>
      <w:r w:rsidR="00DA7D0B">
        <w:t>, so cost</w:t>
      </w:r>
      <w:r w:rsidR="00E86464">
        <w:t>-</w:t>
      </w:r>
      <w:r w:rsidR="00DA7D0B">
        <w:t xml:space="preserve">benefit calculations </w:t>
      </w:r>
      <w:r w:rsidR="00E86464">
        <w:t xml:space="preserve">were </w:t>
      </w:r>
      <w:r w:rsidR="00DA7D0B">
        <w:t xml:space="preserve">based on </w:t>
      </w:r>
      <w:r w:rsidR="00E86464">
        <w:t>various</w:t>
      </w:r>
      <w:r w:rsidR="00DA7D0B">
        <w:t xml:space="preserve"> assumptions</w:t>
      </w:r>
      <w:r>
        <w:t>.</w:t>
      </w:r>
      <w:r w:rsidR="00A6267A">
        <w:rPr>
          <w:rStyle w:val="FootnoteReference"/>
        </w:rPr>
        <w:footnoteReference w:id="37"/>
      </w:r>
    </w:p>
    <w:p w14:paraId="09E48A5D" w14:textId="27D25DB9" w:rsidR="00695DB1" w:rsidRDefault="00842905" w:rsidP="00F05000">
      <w:pPr>
        <w:spacing w:before="120"/>
      </w:pPr>
      <w:r w:rsidRPr="004C396F">
        <w:t xml:space="preserve">The </w:t>
      </w:r>
      <w:r w:rsidR="009563DD" w:rsidRPr="004C396F">
        <w:t xml:space="preserve">requirements in each option </w:t>
      </w:r>
      <w:r w:rsidR="0022401F">
        <w:t>would</w:t>
      </w:r>
      <w:r w:rsidR="0022401F" w:rsidRPr="004C396F">
        <w:t xml:space="preserve"> </w:t>
      </w:r>
      <w:r w:rsidRPr="004C396F">
        <w:t xml:space="preserve">apply to </w:t>
      </w:r>
      <w:r w:rsidR="00CB323D" w:rsidRPr="004C396F">
        <w:t xml:space="preserve">any </w:t>
      </w:r>
      <w:r w:rsidR="00A6267A">
        <w:t>entity</w:t>
      </w:r>
      <w:r w:rsidR="00A6267A" w:rsidRPr="004C396F">
        <w:t xml:space="preserve"> </w:t>
      </w:r>
      <w:r w:rsidR="00DF2F28" w:rsidRPr="004C396F">
        <w:t>(including manufacturers, importers, distributors and retailers)</w:t>
      </w:r>
      <w:r w:rsidR="00CB323D" w:rsidRPr="004C396F">
        <w:t xml:space="preserve"> who offers to supply storage furniture</w:t>
      </w:r>
      <w:r w:rsidR="00DF2F28" w:rsidRPr="004C396F">
        <w:t>:</w:t>
      </w:r>
      <w:r w:rsidRPr="004C396F">
        <w:t xml:space="preserve"> </w:t>
      </w:r>
    </w:p>
    <w:p w14:paraId="4C625A66" w14:textId="59ACC875" w:rsidR="00F8716D" w:rsidRPr="001A7FEF" w:rsidRDefault="00F8716D" w:rsidP="00F05000">
      <w:pPr>
        <w:spacing w:before="120"/>
        <w:rPr>
          <w:i/>
          <w:iCs/>
        </w:rPr>
      </w:pPr>
      <w:r w:rsidRPr="001A7FEF">
        <w:rPr>
          <w:i/>
          <w:iCs/>
        </w:rPr>
        <w:t>Proposed category 1 furniture:</w:t>
      </w:r>
    </w:p>
    <w:p w14:paraId="77C949F6" w14:textId="64A0245B" w:rsidR="00A43677" w:rsidRPr="00E14E4B" w:rsidRDefault="00A43677" w:rsidP="00806096">
      <w:pPr>
        <w:pStyle w:val="ListParagraph"/>
        <w:numPr>
          <w:ilvl w:val="0"/>
          <w:numId w:val="32"/>
        </w:numPr>
      </w:pPr>
      <w:r w:rsidRPr="00E14E4B">
        <w:rPr>
          <w:rFonts w:asciiTheme="minorHAnsi" w:hAnsiTheme="minorHAnsi" w:cstheme="minorHAnsi"/>
        </w:rPr>
        <w:t xml:space="preserve">freestanding clothing storage furniture such as chest of drawers, dressers, bureaus, and wardrobes, with a height </w:t>
      </w:r>
      <w:r w:rsidR="008E293A">
        <w:rPr>
          <w:rFonts w:asciiTheme="minorHAnsi" w:hAnsiTheme="minorHAnsi" w:cstheme="minorHAnsi"/>
        </w:rPr>
        <w:t>above</w:t>
      </w:r>
      <w:r w:rsidR="008E293A" w:rsidRPr="00E14E4B">
        <w:rPr>
          <w:rFonts w:asciiTheme="minorHAnsi" w:hAnsiTheme="minorHAnsi" w:cstheme="minorHAnsi"/>
        </w:rPr>
        <w:t xml:space="preserve"> </w:t>
      </w:r>
      <w:r w:rsidRPr="00E14E4B">
        <w:rPr>
          <w:rFonts w:asciiTheme="minorHAnsi" w:hAnsiTheme="minorHAnsi" w:cstheme="minorHAnsi"/>
        </w:rPr>
        <w:t xml:space="preserve">500mm </w:t>
      </w:r>
      <w:r w:rsidRPr="00E14E4B" w:rsidDel="00A43677">
        <w:t xml:space="preserve"> </w:t>
      </w:r>
    </w:p>
    <w:p w14:paraId="292016B6" w14:textId="3818497D" w:rsidR="00F8716D" w:rsidRDefault="00A43677" w:rsidP="00806096">
      <w:pPr>
        <w:pStyle w:val="Default"/>
        <w:widowControl w:val="0"/>
        <w:numPr>
          <w:ilvl w:val="0"/>
          <w:numId w:val="32"/>
        </w:numPr>
        <w:spacing w:before="120" w:after="120"/>
        <w:rPr>
          <w:rFonts w:asciiTheme="minorHAnsi" w:hAnsiTheme="minorHAnsi" w:cstheme="minorHAnsi"/>
          <w:sz w:val="22"/>
          <w:szCs w:val="22"/>
        </w:rPr>
      </w:pPr>
      <w:r w:rsidRPr="0034728B">
        <w:rPr>
          <w:rFonts w:asciiTheme="minorHAnsi" w:hAnsiTheme="minorHAnsi" w:cstheme="minorHAnsi"/>
          <w:sz w:val="22"/>
          <w:szCs w:val="22"/>
        </w:rPr>
        <w:t xml:space="preserve">freestanding </w:t>
      </w:r>
      <w:r w:rsidR="00B516F5" w:rsidRPr="0034728B">
        <w:rPr>
          <w:rFonts w:asciiTheme="minorHAnsi" w:hAnsiTheme="minorHAnsi" w:cstheme="minorHAnsi"/>
          <w:sz w:val="22"/>
          <w:szCs w:val="22"/>
        </w:rPr>
        <w:t>book</w:t>
      </w:r>
      <w:r w:rsidR="00B516F5">
        <w:rPr>
          <w:rFonts w:asciiTheme="minorHAnsi" w:hAnsiTheme="minorHAnsi" w:cstheme="minorHAnsi"/>
          <w:sz w:val="22"/>
          <w:szCs w:val="22"/>
        </w:rPr>
        <w:t>cases</w:t>
      </w:r>
      <w:r w:rsidR="00B516F5" w:rsidRPr="0034728B">
        <w:rPr>
          <w:rFonts w:asciiTheme="minorHAnsi" w:hAnsiTheme="minorHAnsi" w:cstheme="minorHAnsi"/>
          <w:sz w:val="22"/>
          <w:szCs w:val="22"/>
        </w:rPr>
        <w:t xml:space="preserve"> </w:t>
      </w:r>
      <w:r w:rsidRPr="0034728B">
        <w:rPr>
          <w:rFonts w:asciiTheme="minorHAnsi" w:hAnsiTheme="minorHAnsi" w:cstheme="minorHAnsi"/>
          <w:sz w:val="22"/>
          <w:szCs w:val="22"/>
        </w:rPr>
        <w:t xml:space="preserve">and bookcases with a height </w:t>
      </w:r>
      <w:r w:rsidR="008E293A">
        <w:rPr>
          <w:rFonts w:asciiTheme="minorHAnsi" w:hAnsiTheme="minorHAnsi" w:cstheme="minorHAnsi"/>
          <w:sz w:val="22"/>
          <w:szCs w:val="22"/>
        </w:rPr>
        <w:t>above</w:t>
      </w:r>
      <w:r w:rsidR="008E293A" w:rsidRPr="0034728B">
        <w:rPr>
          <w:rFonts w:asciiTheme="minorHAnsi" w:hAnsiTheme="minorHAnsi" w:cstheme="minorHAnsi"/>
          <w:sz w:val="22"/>
          <w:szCs w:val="22"/>
        </w:rPr>
        <w:t xml:space="preserve"> </w:t>
      </w:r>
      <w:r w:rsidRPr="0034728B">
        <w:rPr>
          <w:rFonts w:asciiTheme="minorHAnsi" w:hAnsiTheme="minorHAnsi" w:cstheme="minorHAnsi"/>
          <w:sz w:val="22"/>
          <w:szCs w:val="22"/>
        </w:rPr>
        <w:t xml:space="preserve">600mm </w:t>
      </w:r>
    </w:p>
    <w:p w14:paraId="799CDD89" w14:textId="5B617726" w:rsidR="00F8716D" w:rsidRPr="001A7FEF" w:rsidRDefault="00F8716D" w:rsidP="001A7FEF">
      <w:pPr>
        <w:pStyle w:val="Default"/>
        <w:widowControl w:val="0"/>
        <w:spacing w:before="120" w:after="120"/>
        <w:rPr>
          <w:rFonts w:asciiTheme="minorHAnsi" w:hAnsiTheme="minorHAnsi" w:cstheme="minorHAnsi"/>
          <w:i/>
          <w:iCs/>
          <w:sz w:val="22"/>
          <w:szCs w:val="22"/>
        </w:rPr>
      </w:pPr>
      <w:r w:rsidRPr="001A7FEF">
        <w:rPr>
          <w:rFonts w:asciiTheme="minorHAnsi" w:hAnsiTheme="minorHAnsi" w:cstheme="minorHAnsi"/>
          <w:i/>
          <w:iCs/>
          <w:sz w:val="22"/>
          <w:szCs w:val="22"/>
        </w:rPr>
        <w:t>Proposed category 2 furniture:</w:t>
      </w:r>
    </w:p>
    <w:p w14:paraId="39E41AA8" w14:textId="472D78A7" w:rsidR="00A43677" w:rsidRDefault="00A43677" w:rsidP="00806096">
      <w:pPr>
        <w:pStyle w:val="Default"/>
        <w:widowControl w:val="0"/>
        <w:numPr>
          <w:ilvl w:val="0"/>
          <w:numId w:val="32"/>
        </w:numPr>
        <w:spacing w:before="120" w:after="120"/>
        <w:rPr>
          <w:rFonts w:asciiTheme="minorHAnsi" w:hAnsiTheme="minorHAnsi" w:cstheme="minorHAnsi"/>
          <w:sz w:val="22"/>
          <w:szCs w:val="22"/>
        </w:rPr>
      </w:pPr>
      <w:r w:rsidRPr="00E14E4B">
        <w:rPr>
          <w:rFonts w:asciiTheme="minorHAnsi" w:hAnsiTheme="minorHAnsi" w:cstheme="minorHAnsi"/>
          <w:sz w:val="22"/>
          <w:szCs w:val="22"/>
        </w:rPr>
        <w:t>entertainment units</w:t>
      </w:r>
      <w:r w:rsidR="008D5D26" w:rsidRPr="00E14E4B">
        <w:rPr>
          <w:rFonts w:asciiTheme="minorHAnsi" w:hAnsiTheme="minorHAnsi" w:cstheme="minorHAnsi"/>
          <w:sz w:val="22"/>
          <w:szCs w:val="22"/>
        </w:rPr>
        <w:t xml:space="preserve"> of any height</w:t>
      </w:r>
      <w:r w:rsidRPr="00E14E4B">
        <w:rPr>
          <w:rFonts w:asciiTheme="minorHAnsi" w:hAnsiTheme="minorHAnsi" w:cstheme="minorHAnsi"/>
          <w:sz w:val="22"/>
          <w:szCs w:val="22"/>
        </w:rPr>
        <w:t xml:space="preserve"> typically used for housing a television, home theatre system or gaming consoles </w:t>
      </w:r>
      <w:r w:rsidR="00F8716D">
        <w:rPr>
          <w:rFonts w:asciiTheme="minorHAnsi" w:hAnsiTheme="minorHAnsi" w:cstheme="minorHAnsi"/>
          <w:sz w:val="22"/>
          <w:szCs w:val="22"/>
        </w:rPr>
        <w:br/>
      </w:r>
    </w:p>
    <w:p w14:paraId="2F91F1DB" w14:textId="43E676CA" w:rsidR="00F8716D" w:rsidRPr="001A7FEF" w:rsidRDefault="00F8716D" w:rsidP="001A7FEF">
      <w:pPr>
        <w:pStyle w:val="Default"/>
        <w:widowControl w:val="0"/>
        <w:spacing w:before="120" w:after="120"/>
        <w:rPr>
          <w:rFonts w:asciiTheme="minorHAnsi" w:hAnsiTheme="minorHAnsi" w:cstheme="minorHAnsi"/>
          <w:i/>
          <w:iCs/>
          <w:sz w:val="22"/>
          <w:szCs w:val="22"/>
        </w:rPr>
      </w:pPr>
      <w:r w:rsidRPr="001A7FEF">
        <w:rPr>
          <w:rFonts w:asciiTheme="minorHAnsi" w:hAnsiTheme="minorHAnsi" w:cstheme="minorHAnsi"/>
          <w:i/>
          <w:iCs/>
          <w:sz w:val="22"/>
          <w:szCs w:val="22"/>
        </w:rPr>
        <w:t>Proposed category 3 furniture:</w:t>
      </w:r>
    </w:p>
    <w:p w14:paraId="228A3889" w14:textId="16C80B44" w:rsidR="00A43677" w:rsidRPr="00E14E4B" w:rsidRDefault="009D3997" w:rsidP="00806096">
      <w:pPr>
        <w:pStyle w:val="ListParagraph"/>
        <w:numPr>
          <w:ilvl w:val="0"/>
          <w:numId w:val="32"/>
        </w:numPr>
      </w:pPr>
      <w:r w:rsidRPr="00E14E4B">
        <w:rPr>
          <w:rFonts w:asciiTheme="minorHAnsi" w:hAnsiTheme="minorHAnsi" w:cstheme="minorHAnsi"/>
        </w:rPr>
        <w:t>h</w:t>
      </w:r>
      <w:r w:rsidR="008D5D26" w:rsidRPr="00E14E4B">
        <w:rPr>
          <w:rFonts w:asciiTheme="minorHAnsi" w:hAnsiTheme="minorHAnsi" w:cstheme="minorHAnsi"/>
        </w:rPr>
        <w:t>all tables</w:t>
      </w:r>
      <w:r w:rsidR="00A43677" w:rsidRPr="00E14E4B">
        <w:rPr>
          <w:rFonts w:asciiTheme="minorHAnsi" w:hAnsiTheme="minorHAnsi" w:cstheme="minorHAnsi"/>
        </w:rPr>
        <w:t xml:space="preserve">, display cabinets, buffets, </w:t>
      </w:r>
      <w:r w:rsidR="008D5D26" w:rsidRPr="00E14E4B">
        <w:rPr>
          <w:rFonts w:asciiTheme="minorHAnsi" w:hAnsiTheme="minorHAnsi" w:cstheme="minorHAnsi"/>
        </w:rPr>
        <w:t>sideboards</w:t>
      </w:r>
      <w:r w:rsidR="00A43677" w:rsidRPr="00E14E4B">
        <w:rPr>
          <w:rFonts w:asciiTheme="minorHAnsi" w:hAnsiTheme="minorHAnsi" w:cstheme="minorHAnsi"/>
        </w:rPr>
        <w:t xml:space="preserve"> with a height </w:t>
      </w:r>
      <w:r w:rsidR="008E293A">
        <w:rPr>
          <w:rFonts w:asciiTheme="minorHAnsi" w:hAnsiTheme="minorHAnsi" w:cstheme="minorHAnsi"/>
        </w:rPr>
        <w:t>above 500mm</w:t>
      </w:r>
    </w:p>
    <w:p w14:paraId="082965CA" w14:textId="7C1F2C60" w:rsidR="00135B5F" w:rsidRPr="004C396F" w:rsidRDefault="00984C1B" w:rsidP="00F05000">
      <w:pPr>
        <w:spacing w:before="120"/>
      </w:pPr>
      <w:r>
        <w:t xml:space="preserve">The </w:t>
      </w:r>
      <w:r w:rsidR="001D6CBA">
        <w:t>furniture selected</w:t>
      </w:r>
      <w:r>
        <w:t xml:space="preserve"> for inclusion in the </w:t>
      </w:r>
      <w:r w:rsidR="008B5B53">
        <w:t xml:space="preserve">mandatory </w:t>
      </w:r>
      <w:r>
        <w:t xml:space="preserve">information standard </w:t>
      </w:r>
      <w:r w:rsidR="001D6CBA">
        <w:t xml:space="preserve">aligns with death and injury data. </w:t>
      </w:r>
      <w:r w:rsidR="00751A9C" w:rsidRPr="004C396F">
        <w:t xml:space="preserve">Height references </w:t>
      </w:r>
      <w:r w:rsidR="007E616F">
        <w:t>align</w:t>
      </w:r>
      <w:r w:rsidR="005047F9" w:rsidRPr="004C396F">
        <w:t xml:space="preserve"> with</w:t>
      </w:r>
      <w:r w:rsidR="00751A9C" w:rsidRPr="004C396F">
        <w:t xml:space="preserve"> AS/NZS 4935:2009</w:t>
      </w:r>
      <w:r>
        <w:t xml:space="preserve">, </w:t>
      </w:r>
      <w:r w:rsidR="0034728B">
        <w:t>noting this</w:t>
      </w:r>
      <w:r>
        <w:t xml:space="preserve"> is a voluntary standard that manufacture</w:t>
      </w:r>
      <w:r w:rsidR="0022401F">
        <w:t>r</w:t>
      </w:r>
      <w:r>
        <w:t>s and suppliers may already be familiar with</w:t>
      </w:r>
      <w:r w:rsidR="00C46E41" w:rsidRPr="004C396F">
        <w:t>.</w:t>
      </w:r>
      <w:r w:rsidR="005047F9" w:rsidRPr="004C396F">
        <w:t xml:space="preserve"> </w:t>
      </w:r>
      <w:r w:rsidR="00C46E41" w:rsidRPr="004C396F">
        <w:t>N</w:t>
      </w:r>
      <w:r w:rsidR="005047F9" w:rsidRPr="004C396F">
        <w:t xml:space="preserve">o </w:t>
      </w:r>
      <w:r w:rsidR="00077B3D" w:rsidRPr="004C396F">
        <w:t xml:space="preserve">minimum </w:t>
      </w:r>
      <w:r w:rsidR="005047F9" w:rsidRPr="004C396F">
        <w:t>height</w:t>
      </w:r>
      <w:r w:rsidR="00751A9C" w:rsidRPr="004C396F">
        <w:t xml:space="preserve"> </w:t>
      </w:r>
      <w:r w:rsidR="005047F9" w:rsidRPr="004C396F">
        <w:t>is specified for entertainment units due to the</w:t>
      </w:r>
      <w:r w:rsidR="00A4528D" w:rsidRPr="004C396F">
        <w:t xml:space="preserve"> </w:t>
      </w:r>
      <w:r w:rsidR="00D555B9" w:rsidRPr="004C396F">
        <w:t>additional risk of toppling posed by having televisions placed on top of them.</w:t>
      </w:r>
    </w:p>
    <w:p w14:paraId="6A92427C" w14:textId="531DA1F0" w:rsidR="0022107A" w:rsidRPr="005D4886" w:rsidRDefault="0022107A" w:rsidP="00F05000">
      <w:pPr>
        <w:pStyle w:val="Heading2"/>
        <w:spacing w:before="120"/>
      </w:pPr>
      <w:bookmarkStart w:id="434" w:name="_Toc126074136"/>
      <w:bookmarkStart w:id="435" w:name="_Toc99466253"/>
      <w:bookmarkStart w:id="436" w:name="_Hlk96418993"/>
      <w:bookmarkStart w:id="437" w:name="_Hlk93502281"/>
      <w:bookmarkEnd w:id="433"/>
      <w:r w:rsidRPr="005D4886">
        <w:t xml:space="preserve">Option 1: </w:t>
      </w:r>
      <w:r w:rsidRPr="000E3E56">
        <w:t>Status</w:t>
      </w:r>
      <w:r w:rsidRPr="005D4886">
        <w:t xml:space="preserve"> quo</w:t>
      </w:r>
      <w:bookmarkEnd w:id="434"/>
      <w:r w:rsidR="006F24ED" w:rsidRPr="005D4886">
        <w:t xml:space="preserve"> </w:t>
      </w:r>
      <w:bookmarkEnd w:id="435"/>
    </w:p>
    <w:p w14:paraId="7221506A" w14:textId="53A88ED9" w:rsidR="00890EF9" w:rsidRPr="00E14E4B" w:rsidRDefault="00B24A60" w:rsidP="00F05000">
      <w:pPr>
        <w:pBdr>
          <w:top w:val="single" w:sz="4" w:space="1" w:color="auto"/>
          <w:left w:val="single" w:sz="4" w:space="4" w:color="auto"/>
          <w:bottom w:val="single" w:sz="4" w:space="1" w:color="auto"/>
          <w:right w:val="single" w:sz="4" w:space="4" w:color="auto"/>
        </w:pBdr>
        <w:shd w:val="clear" w:color="auto" w:fill="D5D6D2" w:themeFill="background2"/>
        <w:spacing w:before="120"/>
      </w:pPr>
      <w:r w:rsidRPr="00E14E4B">
        <w:t>N</w:t>
      </w:r>
      <w:r w:rsidR="00890EF9" w:rsidRPr="00E14E4B">
        <w:t xml:space="preserve">o </w:t>
      </w:r>
      <w:r w:rsidR="005839D6" w:rsidRPr="00E14E4B">
        <w:t>regulatory response</w:t>
      </w:r>
      <w:r w:rsidR="00890EF9" w:rsidRPr="00E14E4B">
        <w:t xml:space="preserve"> and </w:t>
      </w:r>
      <w:r w:rsidR="005839D6" w:rsidRPr="00E14E4B">
        <w:t>continued reliance on</w:t>
      </w:r>
      <w:r w:rsidR="00890EF9" w:rsidRPr="00E14E4B">
        <w:t xml:space="preserve"> voluntary self-regulation to address the risks associated with toppling furniture. </w:t>
      </w:r>
    </w:p>
    <w:p w14:paraId="0316F377" w14:textId="53575C63" w:rsidR="00890EF9" w:rsidRPr="00AF6193" w:rsidRDefault="00890EF9" w:rsidP="00F05000">
      <w:pPr>
        <w:spacing w:before="120"/>
      </w:pPr>
      <w:r w:rsidRPr="00AF6193">
        <w:t xml:space="preserve">Retailers, manufacturers and importers would still need to comply with relevant provisions of the ACL, including the consumer guarantees that require goods </w:t>
      </w:r>
      <w:r w:rsidR="00040407">
        <w:t>to</w:t>
      </w:r>
      <w:r w:rsidR="00040407" w:rsidRPr="00AF6193">
        <w:t xml:space="preserve"> </w:t>
      </w:r>
      <w:r w:rsidRPr="00AF6193">
        <w:t xml:space="preserve">be of acceptable quality, fit for purpose and free from defects. </w:t>
      </w:r>
      <w:r w:rsidR="00433B24">
        <w:t>Storage f</w:t>
      </w:r>
      <w:r w:rsidRPr="00AF6193">
        <w:t xml:space="preserve">urniture supplied in Australia would not have to meet any additional safety requirements. </w:t>
      </w:r>
    </w:p>
    <w:p w14:paraId="789D34BC" w14:textId="4A00D9D4" w:rsidR="003C3DCE" w:rsidRPr="00AF6193" w:rsidRDefault="00890EF9" w:rsidP="00F05000">
      <w:pPr>
        <w:spacing w:before="120"/>
      </w:pPr>
      <w:r w:rsidRPr="00AF6193">
        <w:t>Under the status quo, industry safety initiatives may be adopted on a voluntary basis by suppliers, including recommendations set out in the N</w:t>
      </w:r>
      <w:r w:rsidR="00C25B5A">
        <w:t xml:space="preserve">ational </w:t>
      </w:r>
      <w:r w:rsidRPr="00AF6193">
        <w:t>R</w:t>
      </w:r>
      <w:r w:rsidR="00C25B5A">
        <w:t xml:space="preserve">etailers </w:t>
      </w:r>
      <w:r w:rsidRPr="00AF6193">
        <w:t>A</w:t>
      </w:r>
      <w:r w:rsidR="00C25B5A">
        <w:t>ssociation</w:t>
      </w:r>
      <w:r w:rsidRPr="00AF6193">
        <w:t xml:space="preserve"> guide, consumer education and awareness raising activities and </w:t>
      </w:r>
      <w:r w:rsidR="000E426B" w:rsidRPr="00AF6193">
        <w:t xml:space="preserve">voluntary </w:t>
      </w:r>
      <w:r w:rsidRPr="00AF6193">
        <w:t xml:space="preserve">compliance with national and international standards. </w:t>
      </w:r>
    </w:p>
    <w:p w14:paraId="24F82F21" w14:textId="1CF99700" w:rsidR="00A05A93" w:rsidRPr="005D4886" w:rsidRDefault="00A05A93" w:rsidP="00F05000">
      <w:pPr>
        <w:pStyle w:val="Heading2"/>
        <w:spacing w:before="120"/>
      </w:pPr>
      <w:bookmarkStart w:id="438" w:name="_Toc113977183"/>
      <w:bookmarkStart w:id="439" w:name="_Toc114039282"/>
      <w:bookmarkStart w:id="440" w:name="_Toc114142949"/>
      <w:bookmarkStart w:id="441" w:name="_Toc114232648"/>
      <w:bookmarkStart w:id="442" w:name="_Toc114233126"/>
      <w:bookmarkStart w:id="443" w:name="_Toc114233603"/>
      <w:bookmarkStart w:id="444" w:name="_Toc115341273"/>
      <w:bookmarkStart w:id="445" w:name="_Toc115341782"/>
      <w:bookmarkStart w:id="446" w:name="_Toc115342291"/>
      <w:bookmarkStart w:id="447" w:name="_Toc116285620"/>
      <w:bookmarkStart w:id="448" w:name="_Toc116290712"/>
      <w:bookmarkStart w:id="449" w:name="_Toc113977184"/>
      <w:bookmarkStart w:id="450" w:name="_Toc114039283"/>
      <w:bookmarkStart w:id="451" w:name="_Toc114142950"/>
      <w:bookmarkStart w:id="452" w:name="_Toc114232649"/>
      <w:bookmarkStart w:id="453" w:name="_Toc114233127"/>
      <w:bookmarkStart w:id="454" w:name="_Toc114233604"/>
      <w:bookmarkStart w:id="455" w:name="_Toc115341274"/>
      <w:bookmarkStart w:id="456" w:name="_Toc115341783"/>
      <w:bookmarkStart w:id="457" w:name="_Toc115342292"/>
      <w:bookmarkStart w:id="458" w:name="_Toc116285621"/>
      <w:bookmarkStart w:id="459" w:name="_Toc116290713"/>
      <w:bookmarkStart w:id="460" w:name="_Toc113977185"/>
      <w:bookmarkStart w:id="461" w:name="_Toc114039284"/>
      <w:bookmarkStart w:id="462" w:name="_Toc114142951"/>
      <w:bookmarkStart w:id="463" w:name="_Toc114232650"/>
      <w:bookmarkStart w:id="464" w:name="_Toc114233128"/>
      <w:bookmarkStart w:id="465" w:name="_Toc114233605"/>
      <w:bookmarkStart w:id="466" w:name="_Toc115341275"/>
      <w:bookmarkStart w:id="467" w:name="_Toc115341784"/>
      <w:bookmarkStart w:id="468" w:name="_Toc115342293"/>
      <w:bookmarkStart w:id="469" w:name="_Toc116285622"/>
      <w:bookmarkStart w:id="470" w:name="_Toc116290714"/>
      <w:bookmarkStart w:id="471" w:name="_Toc113977186"/>
      <w:bookmarkStart w:id="472" w:name="_Toc114039285"/>
      <w:bookmarkStart w:id="473" w:name="_Toc114142952"/>
      <w:bookmarkStart w:id="474" w:name="_Toc114232651"/>
      <w:bookmarkStart w:id="475" w:name="_Toc114233129"/>
      <w:bookmarkStart w:id="476" w:name="_Toc114233606"/>
      <w:bookmarkStart w:id="477" w:name="_Toc115341276"/>
      <w:bookmarkStart w:id="478" w:name="_Toc115341785"/>
      <w:bookmarkStart w:id="479" w:name="_Toc115342294"/>
      <w:bookmarkStart w:id="480" w:name="_Toc116285623"/>
      <w:bookmarkStart w:id="481" w:name="_Toc116290715"/>
      <w:bookmarkStart w:id="482" w:name="_Toc113977187"/>
      <w:bookmarkStart w:id="483" w:name="_Toc114039286"/>
      <w:bookmarkStart w:id="484" w:name="_Toc114142953"/>
      <w:bookmarkStart w:id="485" w:name="_Toc114232652"/>
      <w:bookmarkStart w:id="486" w:name="_Toc114233130"/>
      <w:bookmarkStart w:id="487" w:name="_Toc114233607"/>
      <w:bookmarkStart w:id="488" w:name="_Toc115341277"/>
      <w:bookmarkStart w:id="489" w:name="_Toc115341786"/>
      <w:bookmarkStart w:id="490" w:name="_Toc115342295"/>
      <w:bookmarkStart w:id="491" w:name="_Toc116285624"/>
      <w:bookmarkStart w:id="492" w:name="_Toc116290716"/>
      <w:bookmarkStart w:id="493" w:name="_Toc99466009"/>
      <w:bookmarkStart w:id="494" w:name="_Toc99466125"/>
      <w:bookmarkStart w:id="495" w:name="_Toc99466255"/>
      <w:bookmarkStart w:id="496" w:name="_Toc99466385"/>
      <w:bookmarkStart w:id="497" w:name="_Toc99466500"/>
      <w:bookmarkStart w:id="498" w:name="_Toc113977204"/>
      <w:bookmarkStart w:id="499" w:name="_Toc114039303"/>
      <w:bookmarkStart w:id="500" w:name="_Toc114142970"/>
      <w:bookmarkStart w:id="501" w:name="_Toc114232669"/>
      <w:bookmarkStart w:id="502" w:name="_Toc114233147"/>
      <w:bookmarkStart w:id="503" w:name="_Toc114233624"/>
      <w:bookmarkStart w:id="504" w:name="_Toc115341294"/>
      <w:bookmarkStart w:id="505" w:name="_Toc115341803"/>
      <w:bookmarkStart w:id="506" w:name="_Toc115342312"/>
      <w:bookmarkStart w:id="507" w:name="_Toc116285641"/>
      <w:bookmarkStart w:id="508" w:name="_Toc116290733"/>
      <w:bookmarkStart w:id="509" w:name="_Toc113977211"/>
      <w:bookmarkStart w:id="510" w:name="_Toc114039310"/>
      <w:bookmarkStart w:id="511" w:name="_Toc114142977"/>
      <w:bookmarkStart w:id="512" w:name="_Toc114232676"/>
      <w:bookmarkStart w:id="513" w:name="_Toc114233154"/>
      <w:bookmarkStart w:id="514" w:name="_Toc114233631"/>
      <w:bookmarkStart w:id="515" w:name="_Toc115341301"/>
      <w:bookmarkStart w:id="516" w:name="_Toc115341810"/>
      <w:bookmarkStart w:id="517" w:name="_Toc115342319"/>
      <w:bookmarkStart w:id="518" w:name="_Toc116285648"/>
      <w:bookmarkStart w:id="519" w:name="_Toc116290740"/>
      <w:bookmarkStart w:id="520" w:name="_Toc113977235"/>
      <w:bookmarkStart w:id="521" w:name="_Toc114039334"/>
      <w:bookmarkStart w:id="522" w:name="_Toc114143001"/>
      <w:bookmarkStart w:id="523" w:name="_Toc114232700"/>
      <w:bookmarkStart w:id="524" w:name="_Toc114233178"/>
      <w:bookmarkStart w:id="525" w:name="_Toc114233655"/>
      <w:bookmarkStart w:id="526" w:name="_Toc115341325"/>
      <w:bookmarkStart w:id="527" w:name="_Toc115341834"/>
      <w:bookmarkStart w:id="528" w:name="_Toc115342343"/>
      <w:bookmarkStart w:id="529" w:name="_Toc116285672"/>
      <w:bookmarkStart w:id="530" w:name="_Toc116290764"/>
      <w:bookmarkStart w:id="531" w:name="_Toc113977254"/>
      <w:bookmarkStart w:id="532" w:name="_Toc114039353"/>
      <w:bookmarkStart w:id="533" w:name="_Toc114143020"/>
      <w:bookmarkStart w:id="534" w:name="_Toc114232719"/>
      <w:bookmarkStart w:id="535" w:name="_Toc114233197"/>
      <w:bookmarkStart w:id="536" w:name="_Toc114233674"/>
      <w:bookmarkStart w:id="537" w:name="_Toc115341344"/>
      <w:bookmarkStart w:id="538" w:name="_Toc115341853"/>
      <w:bookmarkStart w:id="539" w:name="_Toc115342362"/>
      <w:bookmarkStart w:id="540" w:name="_Toc116285691"/>
      <w:bookmarkStart w:id="541" w:name="_Toc116290783"/>
      <w:bookmarkStart w:id="542" w:name="_Toc113977255"/>
      <w:bookmarkStart w:id="543" w:name="_Toc114039354"/>
      <w:bookmarkStart w:id="544" w:name="_Toc114143021"/>
      <w:bookmarkStart w:id="545" w:name="_Toc114232720"/>
      <w:bookmarkStart w:id="546" w:name="_Toc114233198"/>
      <w:bookmarkStart w:id="547" w:name="_Toc114233675"/>
      <w:bookmarkStart w:id="548" w:name="_Toc115341345"/>
      <w:bookmarkStart w:id="549" w:name="_Toc115341854"/>
      <w:bookmarkStart w:id="550" w:name="_Toc115342363"/>
      <w:bookmarkStart w:id="551" w:name="_Toc116285692"/>
      <w:bookmarkStart w:id="552" w:name="_Toc116290784"/>
      <w:bookmarkStart w:id="553" w:name="_Toc113977270"/>
      <w:bookmarkStart w:id="554" w:name="_Toc114039369"/>
      <w:bookmarkStart w:id="555" w:name="_Toc114143036"/>
      <w:bookmarkStart w:id="556" w:name="_Toc114232735"/>
      <w:bookmarkStart w:id="557" w:name="_Toc114233213"/>
      <w:bookmarkStart w:id="558" w:name="_Toc114233690"/>
      <w:bookmarkStart w:id="559" w:name="_Toc115341360"/>
      <w:bookmarkStart w:id="560" w:name="_Toc115341869"/>
      <w:bookmarkStart w:id="561" w:name="_Toc115342378"/>
      <w:bookmarkStart w:id="562" w:name="_Toc116285707"/>
      <w:bookmarkStart w:id="563" w:name="_Toc116290799"/>
      <w:bookmarkStart w:id="564" w:name="_Toc113977271"/>
      <w:bookmarkStart w:id="565" w:name="_Toc114039370"/>
      <w:bookmarkStart w:id="566" w:name="_Toc114143037"/>
      <w:bookmarkStart w:id="567" w:name="_Toc114232736"/>
      <w:bookmarkStart w:id="568" w:name="_Toc114233214"/>
      <w:bookmarkStart w:id="569" w:name="_Toc114233691"/>
      <w:bookmarkStart w:id="570" w:name="_Toc115341361"/>
      <w:bookmarkStart w:id="571" w:name="_Toc115341870"/>
      <w:bookmarkStart w:id="572" w:name="_Toc115342379"/>
      <w:bookmarkStart w:id="573" w:name="_Toc116285708"/>
      <w:bookmarkStart w:id="574" w:name="_Toc116290800"/>
      <w:bookmarkStart w:id="575" w:name="_Toc113977272"/>
      <w:bookmarkStart w:id="576" w:name="_Toc114039371"/>
      <w:bookmarkStart w:id="577" w:name="_Toc114143038"/>
      <w:bookmarkStart w:id="578" w:name="_Toc114232737"/>
      <w:bookmarkStart w:id="579" w:name="_Toc114233215"/>
      <w:bookmarkStart w:id="580" w:name="_Toc114233692"/>
      <w:bookmarkStart w:id="581" w:name="_Toc115341362"/>
      <w:bookmarkStart w:id="582" w:name="_Toc115341871"/>
      <w:bookmarkStart w:id="583" w:name="_Toc115342380"/>
      <w:bookmarkStart w:id="584" w:name="_Toc116285709"/>
      <w:bookmarkStart w:id="585" w:name="_Toc116290801"/>
      <w:bookmarkStart w:id="586" w:name="_Toc113977273"/>
      <w:bookmarkStart w:id="587" w:name="_Toc114039372"/>
      <w:bookmarkStart w:id="588" w:name="_Toc114143039"/>
      <w:bookmarkStart w:id="589" w:name="_Toc114232738"/>
      <w:bookmarkStart w:id="590" w:name="_Toc114233216"/>
      <w:bookmarkStart w:id="591" w:name="_Toc114233693"/>
      <w:bookmarkStart w:id="592" w:name="_Toc115341363"/>
      <w:bookmarkStart w:id="593" w:name="_Toc115341872"/>
      <w:bookmarkStart w:id="594" w:name="_Toc115342381"/>
      <w:bookmarkStart w:id="595" w:name="_Toc116285710"/>
      <w:bookmarkStart w:id="596" w:name="_Toc116290802"/>
      <w:bookmarkStart w:id="597" w:name="_Toc113977297"/>
      <w:bookmarkStart w:id="598" w:name="_Toc114039396"/>
      <w:bookmarkStart w:id="599" w:name="_Toc114143063"/>
      <w:bookmarkStart w:id="600" w:name="_Toc114232762"/>
      <w:bookmarkStart w:id="601" w:name="_Toc114233240"/>
      <w:bookmarkStart w:id="602" w:name="_Toc114233717"/>
      <w:bookmarkStart w:id="603" w:name="_Toc115341387"/>
      <w:bookmarkStart w:id="604" w:name="_Toc115341896"/>
      <w:bookmarkStart w:id="605" w:name="_Toc115342405"/>
      <w:bookmarkStart w:id="606" w:name="_Toc116285734"/>
      <w:bookmarkStart w:id="607" w:name="_Toc116290826"/>
      <w:bookmarkStart w:id="608" w:name="_Toc126074137"/>
      <w:bookmarkStart w:id="609" w:name="_Toc99466264"/>
      <w:bookmarkStart w:id="610" w:name="_Toc93760102"/>
      <w:bookmarkStart w:id="611" w:name="_Toc93760405"/>
      <w:bookmarkStart w:id="612" w:name="_Toc93760461"/>
      <w:bookmarkStart w:id="613" w:name="_Hlk96341125"/>
      <w:bookmarkStart w:id="614" w:name="_Hlk95998437"/>
      <w:bookmarkEnd w:id="436"/>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Pr="005D4886">
        <w:t xml:space="preserve">Option </w:t>
      </w:r>
      <w:r w:rsidR="003A6623">
        <w:t>2</w:t>
      </w:r>
      <w:r w:rsidRPr="005D4886">
        <w:t xml:space="preserve">: </w:t>
      </w:r>
      <w:r w:rsidRPr="000E3E56">
        <w:t>Mandatory</w:t>
      </w:r>
      <w:r w:rsidRPr="005D4886">
        <w:t xml:space="preserve"> </w:t>
      </w:r>
      <w:r w:rsidR="007A0A83" w:rsidRPr="005D4886">
        <w:t>i</w:t>
      </w:r>
      <w:r w:rsidRPr="005D4886">
        <w:t xml:space="preserve">nformation </w:t>
      </w:r>
      <w:r w:rsidR="007A0A83" w:rsidRPr="005D4886">
        <w:t>s</w:t>
      </w:r>
      <w:r w:rsidRPr="005D4886">
        <w:t>tandard</w:t>
      </w:r>
      <w:r w:rsidR="0022401F">
        <w:t xml:space="preserve"> (recommended)</w:t>
      </w:r>
      <w:bookmarkEnd w:id="608"/>
      <w:r w:rsidRPr="005D4886">
        <w:t xml:space="preserve"> </w:t>
      </w:r>
      <w:bookmarkEnd w:id="609"/>
    </w:p>
    <w:tbl>
      <w:tblPr>
        <w:tblStyle w:val="PlainTable1"/>
        <w:tblW w:w="9209" w:type="dxa"/>
        <w:tblInd w:w="-5" w:type="dxa"/>
        <w:tblLook w:val="04A0" w:firstRow="1" w:lastRow="0" w:firstColumn="1" w:lastColumn="0" w:noHBand="0" w:noVBand="1"/>
      </w:tblPr>
      <w:tblGrid>
        <w:gridCol w:w="9209"/>
      </w:tblGrid>
      <w:tr w:rsidR="000D569A" w:rsidRPr="00AF6193" w14:paraId="3854A6FE" w14:textId="77777777" w:rsidTr="00C126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D5D6D2" w:themeFill="background2"/>
          </w:tcPr>
          <w:p w14:paraId="59F861EF" w14:textId="77777777" w:rsidR="00C1595E" w:rsidRPr="00E14E4B" w:rsidRDefault="00C1595E" w:rsidP="00C1595E">
            <w:pPr>
              <w:spacing w:before="120"/>
              <w:rPr>
                <w:b w:val="0"/>
                <w:bCs w:val="0"/>
              </w:rPr>
            </w:pPr>
            <w:r w:rsidRPr="00E14E4B">
              <w:t>Section 134 of the ACL allows the Commonwealth Minister to make a mandatory information standard. Mandatory information standards ensure that consumers are provided with important information about a product to assist them in making a purchasing decision.</w:t>
            </w:r>
          </w:p>
          <w:p w14:paraId="424878D8" w14:textId="41227557" w:rsidR="00B90AF9" w:rsidRPr="00AF6193" w:rsidRDefault="008F7B5D" w:rsidP="00F05000">
            <w:pPr>
              <w:spacing w:before="120" w:after="120"/>
              <w:rPr>
                <w:b w:val="0"/>
                <w:bCs w:val="0"/>
              </w:rPr>
            </w:pPr>
            <w:r w:rsidRPr="00AF6193">
              <w:rPr>
                <w:b w:val="0"/>
                <w:bCs w:val="0"/>
              </w:rPr>
              <w:t xml:space="preserve">A </w:t>
            </w:r>
            <w:r w:rsidR="00B90AF9" w:rsidRPr="00AF6193">
              <w:rPr>
                <w:b w:val="0"/>
                <w:bCs w:val="0"/>
              </w:rPr>
              <w:t xml:space="preserve">mandatory information standard </w:t>
            </w:r>
            <w:r w:rsidR="00433B24">
              <w:rPr>
                <w:b w:val="0"/>
                <w:bCs w:val="0"/>
              </w:rPr>
              <w:t>would</w:t>
            </w:r>
            <w:r w:rsidR="00433B24" w:rsidRPr="00AF6193">
              <w:rPr>
                <w:b w:val="0"/>
                <w:bCs w:val="0"/>
              </w:rPr>
              <w:t xml:space="preserve"> </w:t>
            </w:r>
            <w:r w:rsidR="00B90AF9" w:rsidRPr="00AF6193">
              <w:rPr>
                <w:b w:val="0"/>
                <w:bCs w:val="0"/>
              </w:rPr>
              <w:t xml:space="preserve">require </w:t>
            </w:r>
            <w:r w:rsidR="00C93E02" w:rsidRPr="00AF6193">
              <w:rPr>
                <w:b w:val="0"/>
                <w:bCs w:val="0"/>
              </w:rPr>
              <w:t xml:space="preserve">the inclusion of </w:t>
            </w:r>
            <w:r w:rsidR="00B90AF9" w:rsidRPr="00AF6193">
              <w:rPr>
                <w:b w:val="0"/>
                <w:bCs w:val="0"/>
              </w:rPr>
              <w:t>safety information about the hazards associated with furniture tip overs and how to reduce the likelihood of a tip over incident by</w:t>
            </w:r>
            <w:r w:rsidR="007A0A83" w:rsidRPr="00AF6193">
              <w:rPr>
                <w:b w:val="0"/>
                <w:bCs w:val="0"/>
              </w:rPr>
              <w:t>:</w:t>
            </w:r>
            <w:r w:rsidR="00B90AF9" w:rsidRPr="00AF6193">
              <w:rPr>
                <w:b w:val="0"/>
                <w:bCs w:val="0"/>
              </w:rPr>
              <w:t xml:space="preserve"> </w:t>
            </w:r>
          </w:p>
          <w:p w14:paraId="04F7E592" w14:textId="77777777" w:rsidR="002F03DB" w:rsidRPr="00AF6193" w:rsidRDefault="00B90AF9" w:rsidP="00F05000">
            <w:pPr>
              <w:pStyle w:val="ListParagraph"/>
              <w:numPr>
                <w:ilvl w:val="0"/>
                <w:numId w:val="25"/>
              </w:numPr>
              <w:spacing w:after="120"/>
              <w:rPr>
                <w:b w:val="0"/>
                <w:bCs w:val="0"/>
              </w:rPr>
            </w:pPr>
            <w:r w:rsidRPr="00AF6193">
              <w:rPr>
                <w:b w:val="0"/>
                <w:bCs w:val="0"/>
              </w:rPr>
              <w:t xml:space="preserve">affixing a permanent </w:t>
            </w:r>
            <w:r w:rsidRPr="00AF6193">
              <w:t>warning label</w:t>
            </w:r>
            <w:r w:rsidRPr="00AF6193">
              <w:rPr>
                <w:b w:val="0"/>
                <w:bCs w:val="0"/>
              </w:rPr>
              <w:t xml:space="preserve"> to the furniture</w:t>
            </w:r>
          </w:p>
          <w:p w14:paraId="7150CB23" w14:textId="0383CD3F" w:rsidR="00B90AF9" w:rsidRPr="00AF6193" w:rsidRDefault="00B90AF9" w:rsidP="00F05000">
            <w:pPr>
              <w:pStyle w:val="ListParagraph"/>
              <w:numPr>
                <w:ilvl w:val="0"/>
                <w:numId w:val="25"/>
              </w:numPr>
              <w:spacing w:after="120"/>
              <w:rPr>
                <w:b w:val="0"/>
                <w:bCs w:val="0"/>
              </w:rPr>
            </w:pPr>
            <w:r w:rsidRPr="00AF6193">
              <w:rPr>
                <w:b w:val="0"/>
                <w:bCs w:val="0"/>
              </w:rPr>
              <w:t xml:space="preserve">providing </w:t>
            </w:r>
            <w:r w:rsidRPr="00AF6193">
              <w:t>safety information</w:t>
            </w:r>
            <w:r w:rsidRPr="00AF6193">
              <w:rPr>
                <w:b w:val="0"/>
                <w:bCs w:val="0"/>
              </w:rPr>
              <w:t xml:space="preserve"> in the manual and/or assembly instructions highlighting the risk of toppling</w:t>
            </w:r>
            <w:r w:rsidR="00D82396" w:rsidRPr="00AF6193">
              <w:rPr>
                <w:b w:val="0"/>
                <w:bCs w:val="0"/>
              </w:rPr>
              <w:t xml:space="preserve"> and the importance of anchoring</w:t>
            </w:r>
            <w:r w:rsidR="002810E2" w:rsidRPr="00AF6193">
              <w:rPr>
                <w:b w:val="0"/>
                <w:bCs w:val="0"/>
              </w:rPr>
              <w:t>; and</w:t>
            </w:r>
          </w:p>
          <w:p w14:paraId="59B60E6F" w14:textId="61FC6724" w:rsidR="00B90AF9" w:rsidRPr="00AF6193" w:rsidRDefault="00B90AF9" w:rsidP="00F05000">
            <w:pPr>
              <w:pStyle w:val="ListParagraph"/>
              <w:numPr>
                <w:ilvl w:val="0"/>
                <w:numId w:val="25"/>
              </w:numPr>
              <w:spacing w:after="120"/>
            </w:pPr>
            <w:r w:rsidRPr="00AF6193">
              <w:rPr>
                <w:b w:val="0"/>
                <w:bCs w:val="0"/>
              </w:rPr>
              <w:t xml:space="preserve">providing </w:t>
            </w:r>
            <w:r w:rsidRPr="00AF6193">
              <w:t xml:space="preserve">warnings </w:t>
            </w:r>
            <w:r w:rsidRPr="00AF6193">
              <w:rPr>
                <w:b w:val="0"/>
                <w:bCs w:val="0"/>
              </w:rPr>
              <w:t xml:space="preserve">about toppling hazards </w:t>
            </w:r>
            <w:r w:rsidRPr="00AF6193">
              <w:t>in-store</w:t>
            </w:r>
            <w:r w:rsidRPr="00AF6193">
              <w:rPr>
                <w:b w:val="0"/>
                <w:bCs w:val="0"/>
              </w:rPr>
              <w:t xml:space="preserve"> (</w:t>
            </w:r>
            <w:r w:rsidR="009914DF" w:rsidRPr="00AF6193">
              <w:rPr>
                <w:b w:val="0"/>
                <w:bCs w:val="0"/>
              </w:rPr>
              <w:t>e.g.,</w:t>
            </w:r>
            <w:r w:rsidRPr="00AF6193">
              <w:rPr>
                <w:b w:val="0"/>
                <w:bCs w:val="0"/>
              </w:rPr>
              <w:t xml:space="preserve"> ‘hang tag’ or ‘placard’) and </w:t>
            </w:r>
            <w:r w:rsidRPr="00AF6193">
              <w:t>online</w:t>
            </w:r>
            <w:r w:rsidRPr="00AF6193">
              <w:rPr>
                <w:b w:val="0"/>
                <w:bCs w:val="0"/>
              </w:rPr>
              <w:t>.</w:t>
            </w:r>
          </w:p>
        </w:tc>
      </w:tr>
    </w:tbl>
    <w:p w14:paraId="684A1A5B" w14:textId="75C23CD4" w:rsidR="00A05A93" w:rsidRDefault="00A05A93">
      <w:pPr>
        <w:spacing w:before="120"/>
      </w:pPr>
      <w:r w:rsidRPr="00AF6193">
        <w:t xml:space="preserve">Option </w:t>
      </w:r>
      <w:r w:rsidR="00940E09">
        <w:t>2</w:t>
      </w:r>
      <w:r w:rsidRPr="00AF6193">
        <w:t xml:space="preserve"> </w:t>
      </w:r>
      <w:r w:rsidR="006E292D" w:rsidRPr="00AF6193">
        <w:t>proposes the introduction of</w:t>
      </w:r>
      <w:r w:rsidRPr="00AF6193">
        <w:t xml:space="preserve"> a</w:t>
      </w:r>
      <w:r w:rsidR="00153BCA" w:rsidRPr="00AF6193">
        <w:t xml:space="preserve"> mandatory</w:t>
      </w:r>
      <w:r w:rsidRPr="00AF6193">
        <w:t xml:space="preserve"> information standard to warn consumers about the safety risks</w:t>
      </w:r>
      <w:r w:rsidR="004C23C1" w:rsidRPr="00AF6193">
        <w:t xml:space="preserve"> associated with furniture tip overs before</w:t>
      </w:r>
      <w:r w:rsidR="00254415">
        <w:t xml:space="preserve">, during </w:t>
      </w:r>
      <w:r w:rsidR="004C23C1" w:rsidRPr="00AF6193">
        <w:t>and after purchase</w:t>
      </w:r>
      <w:r w:rsidR="00314F3E" w:rsidRPr="00AF6193">
        <w:t>.</w:t>
      </w:r>
      <w:r w:rsidR="009F3D50">
        <w:t xml:space="preserve"> </w:t>
      </w:r>
    </w:p>
    <w:p w14:paraId="11269288" w14:textId="09A5AA5E" w:rsidR="00C714C1" w:rsidRPr="00AF6193" w:rsidRDefault="00F24C46" w:rsidP="00F05000">
      <w:pPr>
        <w:spacing w:before="120"/>
      </w:pPr>
      <w:r w:rsidRPr="00AF6193">
        <w:t>A</w:t>
      </w:r>
      <w:r w:rsidR="00093DE9" w:rsidRPr="00AF6193">
        <w:t xml:space="preserve"> mandatory</w:t>
      </w:r>
      <w:r w:rsidRPr="00AF6193">
        <w:t xml:space="preserve"> information standard differs from a safety standard in that it can </w:t>
      </w:r>
      <w:r w:rsidR="009A4937">
        <w:t>mandate</w:t>
      </w:r>
      <w:r w:rsidR="009A4937" w:rsidRPr="00AF6193">
        <w:t xml:space="preserve"> </w:t>
      </w:r>
      <w:r w:rsidR="00C714C1" w:rsidRPr="00AF6193">
        <w:t xml:space="preserve">the </w:t>
      </w:r>
      <w:r w:rsidR="003B7793" w:rsidRPr="00AF6193">
        <w:t xml:space="preserve">content, manner and </w:t>
      </w:r>
      <w:r w:rsidR="00C714C1" w:rsidRPr="00AF6193">
        <w:t>form of the information</w:t>
      </w:r>
      <w:r w:rsidRPr="00AF6193">
        <w:t xml:space="preserve"> </w:t>
      </w:r>
      <w:r w:rsidR="001D3C3C" w:rsidRPr="00AF6193">
        <w:t xml:space="preserve">that consumers are provided </w:t>
      </w:r>
      <w:r w:rsidR="00C714C1" w:rsidRPr="00AF6193">
        <w:t xml:space="preserve">with </w:t>
      </w:r>
      <w:r w:rsidR="001D3C3C" w:rsidRPr="00AF6193">
        <w:t>to assist them in making a</w:t>
      </w:r>
      <w:r w:rsidR="00EF67E9" w:rsidRPr="00AF6193">
        <w:t xml:space="preserve">n informed </w:t>
      </w:r>
      <w:r w:rsidR="001D3C3C" w:rsidRPr="00AF6193">
        <w:t>purchasing decision</w:t>
      </w:r>
      <w:r w:rsidR="00C714C1" w:rsidRPr="00AF6193">
        <w:t>.</w:t>
      </w:r>
      <w:r w:rsidR="003B7793" w:rsidRPr="00AF6193">
        <w:t xml:space="preserve"> </w:t>
      </w:r>
      <w:r w:rsidR="00D01D95" w:rsidRPr="00AF6193">
        <w:t>For example, an information standard could require manufacturers to supply safety information with the product</w:t>
      </w:r>
      <w:r w:rsidR="009A4937">
        <w:t>,</w:t>
      </w:r>
      <w:r w:rsidR="00D01D95" w:rsidRPr="00AF6193">
        <w:t xml:space="preserve"> and retailers to </w:t>
      </w:r>
      <w:r w:rsidR="009A4937">
        <w:t>provide information</w:t>
      </w:r>
      <w:r w:rsidR="00D01D95" w:rsidRPr="00AF6193">
        <w:t xml:space="preserve"> instore and online. </w:t>
      </w:r>
      <w:r w:rsidR="009A4937">
        <w:t>In contrast,</w:t>
      </w:r>
      <w:r w:rsidR="009A4937" w:rsidRPr="00AF6193">
        <w:t xml:space="preserve"> </w:t>
      </w:r>
      <w:r w:rsidR="003B7793" w:rsidRPr="00AF6193">
        <w:t xml:space="preserve">a safety standard </w:t>
      </w:r>
      <w:r w:rsidR="00330F5F">
        <w:t>would</w:t>
      </w:r>
      <w:r w:rsidR="00330F5F" w:rsidRPr="00AF6193">
        <w:t xml:space="preserve"> </w:t>
      </w:r>
      <w:r w:rsidR="003B7793" w:rsidRPr="00AF6193">
        <w:t>only require information to accompany the product.</w:t>
      </w:r>
      <w:r w:rsidR="00C714C1" w:rsidRPr="00AF6193">
        <w:t xml:space="preserve"> </w:t>
      </w:r>
    </w:p>
    <w:p w14:paraId="03121400" w14:textId="4F8FE212" w:rsidR="00D01D95" w:rsidRPr="00F05000" w:rsidRDefault="002B0528" w:rsidP="00F05000">
      <w:pPr>
        <w:pStyle w:val="Heading3"/>
        <w:spacing w:before="120"/>
      </w:pPr>
      <w:bookmarkStart w:id="615" w:name="_Toc99466135"/>
      <w:bookmarkStart w:id="616" w:name="_Toc99466265"/>
      <w:bookmarkStart w:id="617" w:name="_Toc99466510"/>
      <w:bookmarkStart w:id="618" w:name="_Toc100214739"/>
      <w:bookmarkStart w:id="619" w:name="_Toc103020741"/>
      <w:bookmarkStart w:id="620" w:name="_Toc126074138"/>
      <w:r w:rsidRPr="00F05000">
        <w:t xml:space="preserve">Warning label and safety information </w:t>
      </w:r>
      <w:r w:rsidR="00AC5389" w:rsidRPr="00F05000">
        <w:t xml:space="preserve">to accompany </w:t>
      </w:r>
      <w:r w:rsidRPr="00F05000">
        <w:t>the product</w:t>
      </w:r>
      <w:bookmarkEnd w:id="615"/>
      <w:bookmarkEnd w:id="616"/>
      <w:bookmarkEnd w:id="617"/>
      <w:bookmarkEnd w:id="618"/>
      <w:bookmarkEnd w:id="619"/>
      <w:bookmarkEnd w:id="620"/>
    </w:p>
    <w:p w14:paraId="4F83E392" w14:textId="7684EB6A" w:rsidR="00940E09" w:rsidRPr="00AF6193" w:rsidRDefault="00940E09" w:rsidP="00F05000">
      <w:pPr>
        <w:spacing w:before="120"/>
      </w:pPr>
      <w:r w:rsidRPr="00AF6193">
        <w:t xml:space="preserve">Option 2 requires </w:t>
      </w:r>
      <w:r w:rsidR="009F3D50">
        <w:t xml:space="preserve">new </w:t>
      </w:r>
      <w:r w:rsidRPr="00AF6193">
        <w:t>storage furniture to be supplied with:</w:t>
      </w:r>
    </w:p>
    <w:p w14:paraId="11BE2C7D" w14:textId="3A03A51E" w:rsidR="00940E09" w:rsidRPr="00AF6193" w:rsidRDefault="00940E09" w:rsidP="00806096">
      <w:pPr>
        <w:pStyle w:val="ListParagraph"/>
        <w:numPr>
          <w:ilvl w:val="0"/>
          <w:numId w:val="34"/>
        </w:numPr>
      </w:pPr>
      <w:r w:rsidRPr="00AF6193">
        <w:t>an affixed permanent and durable warning label that will last the lifetime of the product during normal use</w:t>
      </w:r>
      <w:r w:rsidR="009A4937">
        <w:t>; and</w:t>
      </w:r>
    </w:p>
    <w:p w14:paraId="47BD5FB9" w14:textId="1364F4CA" w:rsidR="00940E09" w:rsidRDefault="00940E09" w:rsidP="00806096">
      <w:pPr>
        <w:pStyle w:val="ListParagraph"/>
        <w:numPr>
          <w:ilvl w:val="0"/>
          <w:numId w:val="34"/>
        </w:numPr>
      </w:pPr>
      <w:r w:rsidRPr="00AF6193">
        <w:t>safety information in assembly instructions or manuals highlighting the safety risks of furniture tip overs, prevention measures and correct installation of anchoring devices to different surface types</w:t>
      </w:r>
    </w:p>
    <w:p w14:paraId="14599A4C" w14:textId="593F5F21" w:rsidR="00F8716D" w:rsidRPr="00AF6193" w:rsidRDefault="00F8716D" w:rsidP="00806096">
      <w:pPr>
        <w:pStyle w:val="ListParagraph"/>
        <w:numPr>
          <w:ilvl w:val="0"/>
          <w:numId w:val="34"/>
        </w:numPr>
      </w:pPr>
      <w:r>
        <w:t xml:space="preserve">Warning information </w:t>
      </w:r>
      <w:r w:rsidR="001C2871">
        <w:t xml:space="preserve">relevant to the risks of that furniture (i.e., category </w:t>
      </w:r>
      <w:r w:rsidR="00B4472A">
        <w:t xml:space="preserve">1 </w:t>
      </w:r>
      <w:r w:rsidR="00C25B5A">
        <w:t xml:space="preserve">and 3 </w:t>
      </w:r>
      <w:r w:rsidR="00B4472A">
        <w:t xml:space="preserve">furniture labels will provide information </w:t>
      </w:r>
      <w:r w:rsidR="007E616F">
        <w:t>specific to</w:t>
      </w:r>
      <w:r w:rsidR="00B4472A">
        <w:t xml:space="preserve"> the severity and risk posed by that type of furniture. This will vary from category 2 furniture labels which will consider the specific risks of entertainment units.</w:t>
      </w:r>
      <w:r w:rsidR="001C2871">
        <w:t>)</w:t>
      </w:r>
    </w:p>
    <w:p w14:paraId="470E0B68" w14:textId="2AE6855D" w:rsidR="00940E09" w:rsidRDefault="00940E09" w:rsidP="00F05000">
      <w:pPr>
        <w:spacing w:before="120"/>
      </w:pPr>
      <w:r w:rsidRPr="00AF6193">
        <w:t xml:space="preserve">Safety information in assembly instructions or manuals must have text that is larger than non-safety related information (8-point type or larger), and stand out from the background, i.e., black text on white background. It must also be accessible to consumers regardless of English literacy levels, i.e., </w:t>
      </w:r>
      <w:r w:rsidR="009914DF" w:rsidRPr="00AF6193">
        <w:t>using</w:t>
      </w:r>
      <w:r w:rsidRPr="00AF6193">
        <w:t xml:space="preserve"> pictograms and clear safety symbols</w:t>
      </w:r>
      <w:r w:rsidR="009F3D50">
        <w:t xml:space="preserve">. The mandatory information standard will prescribe </w:t>
      </w:r>
      <w:r w:rsidR="00033D1D">
        <w:t xml:space="preserve">information to be provided </w:t>
      </w:r>
      <w:r w:rsidR="00F8716D">
        <w:t xml:space="preserve">that </w:t>
      </w:r>
      <w:r w:rsidR="00033D1D">
        <w:t xml:space="preserve">is </w:t>
      </w:r>
      <w:bookmarkStart w:id="621" w:name="_Hlk118792434"/>
      <w:r w:rsidR="00033D1D">
        <w:t xml:space="preserve">specific to the risk profile of the furniture. </w:t>
      </w:r>
    </w:p>
    <w:bookmarkEnd w:id="621"/>
    <w:p w14:paraId="00D86E66" w14:textId="253A7CF1" w:rsidR="00940E09" w:rsidRPr="00AF6193" w:rsidRDefault="00940E09" w:rsidP="00F05000">
      <w:pPr>
        <w:spacing w:before="120"/>
      </w:pPr>
      <w:r w:rsidRPr="00AF6193">
        <w:t>The</w:t>
      </w:r>
      <w:r w:rsidR="002025AC">
        <w:t xml:space="preserve">re are currently </w:t>
      </w:r>
      <w:r w:rsidRPr="00AF6193">
        <w:t xml:space="preserve">voluntary standards </w:t>
      </w:r>
      <w:r w:rsidR="002025AC">
        <w:t>which</w:t>
      </w:r>
      <w:r w:rsidRPr="00AF6193">
        <w:t xml:space="preserve"> include requirements for warning and safety information to be provided with furniture. </w:t>
      </w:r>
      <w:r w:rsidR="002025AC">
        <w:t xml:space="preserve">The ACCC </w:t>
      </w:r>
      <w:r w:rsidR="0003400F">
        <w:t xml:space="preserve">has considered these standards and believes </w:t>
      </w:r>
      <w:r w:rsidR="007A4C3B">
        <w:t>the recommended</w:t>
      </w:r>
      <w:r w:rsidR="00822F73">
        <w:t xml:space="preserve"> mandatory</w:t>
      </w:r>
      <w:r w:rsidR="007A4C3B">
        <w:t xml:space="preserve"> information standard will go further to educate and protect consumers. </w:t>
      </w:r>
    </w:p>
    <w:p w14:paraId="0A0FFBD3" w14:textId="14406598" w:rsidR="00940E09" w:rsidRPr="005D4886" w:rsidRDefault="00940E09" w:rsidP="00F05000">
      <w:pPr>
        <w:pStyle w:val="TableHeading"/>
        <w:spacing w:before="120" w:after="120"/>
      </w:pPr>
      <w:r w:rsidRPr="005D4886">
        <w:t xml:space="preserve">Table </w:t>
      </w:r>
      <w:r w:rsidR="008B7301">
        <w:t>4</w:t>
      </w:r>
      <w:r w:rsidRPr="005D4886">
        <w:t xml:space="preserve"> – </w:t>
      </w:r>
      <w:r w:rsidR="009A4937">
        <w:t>V</w:t>
      </w:r>
      <w:r w:rsidRPr="005D4886">
        <w:t>oluntary standards that require warning labels</w:t>
      </w:r>
    </w:p>
    <w:tbl>
      <w:tblPr>
        <w:tblStyle w:val="TableGrid"/>
        <w:tblW w:w="9214" w:type="dxa"/>
        <w:tblBorders>
          <w:insideH w:val="single" w:sz="4" w:space="0" w:color="BFBFBF" w:themeColor="background1" w:themeShade="BF"/>
        </w:tblBorders>
        <w:tblLook w:val="04A0" w:firstRow="1" w:lastRow="0" w:firstColumn="1" w:lastColumn="0" w:noHBand="0" w:noVBand="1"/>
      </w:tblPr>
      <w:tblGrid>
        <w:gridCol w:w="2326"/>
        <w:gridCol w:w="2892"/>
        <w:gridCol w:w="3996"/>
      </w:tblGrid>
      <w:tr w:rsidR="00940E09" w:rsidRPr="00AF6193" w14:paraId="6C0ED7B3" w14:textId="77777777" w:rsidTr="000F14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223C8D0C" w14:textId="77777777" w:rsidR="00940E09" w:rsidRPr="00AF6193" w:rsidRDefault="00940E09">
            <w:pPr>
              <w:rPr>
                <w:b w:val="0"/>
                <w:bCs/>
              </w:rPr>
            </w:pPr>
            <w:r w:rsidRPr="00AF6193">
              <w:rPr>
                <w:bCs/>
              </w:rPr>
              <w:t>Standard</w:t>
            </w:r>
          </w:p>
        </w:tc>
        <w:tc>
          <w:tcPr>
            <w:tcW w:w="3135" w:type="dxa"/>
          </w:tcPr>
          <w:p w14:paraId="07FBB79A" w14:textId="77777777" w:rsidR="00940E09" w:rsidRPr="00AF6193" w:rsidRDefault="00940E09">
            <w:pPr>
              <w:cnfStyle w:val="100000000000" w:firstRow="1" w:lastRow="0" w:firstColumn="0" w:lastColumn="0" w:oddVBand="0" w:evenVBand="0" w:oddHBand="0" w:evenHBand="0" w:firstRowFirstColumn="0" w:firstRowLastColumn="0" w:lastRowFirstColumn="0" w:lastRowLastColumn="0"/>
              <w:rPr>
                <w:b w:val="0"/>
                <w:bCs/>
              </w:rPr>
            </w:pPr>
            <w:r w:rsidRPr="00AF6193">
              <w:rPr>
                <w:bCs/>
              </w:rPr>
              <w:t>Requirement</w:t>
            </w:r>
          </w:p>
        </w:tc>
        <w:tc>
          <w:tcPr>
            <w:tcW w:w="3561" w:type="dxa"/>
          </w:tcPr>
          <w:p w14:paraId="5EBF4D8C" w14:textId="77777777" w:rsidR="00940E09" w:rsidRPr="00AF6193" w:rsidRDefault="00940E09">
            <w:pPr>
              <w:cnfStyle w:val="100000000000" w:firstRow="1" w:lastRow="0" w:firstColumn="0" w:lastColumn="0" w:oddVBand="0" w:evenVBand="0" w:oddHBand="0" w:evenHBand="0" w:firstRowFirstColumn="0" w:firstRowLastColumn="0" w:lastRowFirstColumn="0" w:lastRowLastColumn="0"/>
              <w:rPr>
                <w:bCs/>
              </w:rPr>
            </w:pPr>
            <w:r w:rsidRPr="00AF6193">
              <w:rPr>
                <w:bCs/>
              </w:rPr>
              <w:t>Labels</w:t>
            </w:r>
          </w:p>
        </w:tc>
      </w:tr>
      <w:tr w:rsidR="00940E09" w:rsidRPr="00AF6193" w14:paraId="38208E7B" w14:textId="77777777" w:rsidTr="000F148F">
        <w:tc>
          <w:tcPr>
            <w:cnfStyle w:val="001000000000" w:firstRow="0" w:lastRow="0" w:firstColumn="1" w:lastColumn="0" w:oddVBand="0" w:evenVBand="0" w:oddHBand="0" w:evenHBand="0" w:firstRowFirstColumn="0" w:firstRowLastColumn="0" w:lastRowFirstColumn="0" w:lastRowLastColumn="0"/>
            <w:tcW w:w="2518" w:type="dxa"/>
          </w:tcPr>
          <w:p w14:paraId="1075DC7A" w14:textId="77777777" w:rsidR="00940E09" w:rsidRPr="00AF6193" w:rsidRDefault="00940E09" w:rsidP="00F05000">
            <w:pPr>
              <w:spacing w:before="120" w:after="120"/>
            </w:pPr>
            <w:r w:rsidRPr="00AF6193">
              <w:t xml:space="preserve">AS/NZS 4935:2009 </w:t>
            </w:r>
          </w:p>
        </w:tc>
        <w:tc>
          <w:tcPr>
            <w:tcW w:w="3135" w:type="dxa"/>
          </w:tcPr>
          <w:p w14:paraId="1497DDE9" w14:textId="5DA0FE8F" w:rsidR="00940E09" w:rsidRPr="00AF6193" w:rsidRDefault="00940E09" w:rsidP="00F05000">
            <w:pPr>
              <w:spacing w:before="120" w:after="120"/>
              <w:cnfStyle w:val="000000000000" w:firstRow="0" w:lastRow="0" w:firstColumn="0" w:lastColumn="0" w:oddVBand="0" w:evenVBand="0" w:oddHBand="0" w:evenHBand="0" w:firstRowFirstColumn="0" w:firstRowLastColumn="0" w:lastRowFirstColumn="0" w:lastRowLastColumn="0"/>
            </w:pPr>
            <w:r w:rsidRPr="00AF6193">
              <w:t>Warning labels must be on particular locations on the furniture and on instruction sheets supplied with the furniture. There are different warning labels for furniture that pass</w:t>
            </w:r>
            <w:r w:rsidR="009A4937">
              <w:t>es</w:t>
            </w:r>
            <w:r w:rsidRPr="00AF6193">
              <w:t xml:space="preserve"> the stability requirements. There is a requirement for swing tags for furniture tested compliant with the standard.</w:t>
            </w:r>
          </w:p>
        </w:tc>
        <w:tc>
          <w:tcPr>
            <w:tcW w:w="3561" w:type="dxa"/>
          </w:tcPr>
          <w:p w14:paraId="2128DFDB" w14:textId="77777777" w:rsidR="00940E09" w:rsidRPr="00AF6193" w:rsidRDefault="00940E09" w:rsidP="00F05000">
            <w:pPr>
              <w:spacing w:before="120" w:after="120"/>
              <w:cnfStyle w:val="000000000000" w:firstRow="0" w:lastRow="0" w:firstColumn="0" w:lastColumn="0" w:oddVBand="0" w:evenVBand="0" w:oddHBand="0" w:evenHBand="0" w:firstRowFirstColumn="0" w:firstRowLastColumn="0" w:lastRowFirstColumn="0" w:lastRowLastColumn="0"/>
            </w:pPr>
            <w:r w:rsidRPr="00AF6193">
              <w:rPr>
                <w:noProof/>
                <w:lang w:eastAsia="en-AU"/>
              </w:rPr>
              <w:drawing>
                <wp:inline distT="0" distB="0" distL="0" distR="0" wp14:anchorId="1B550EE8" wp14:editId="1AB2ECA1">
                  <wp:extent cx="2338929" cy="1400175"/>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366169" cy="1416482"/>
                          </a:xfrm>
                          <a:prstGeom prst="rect">
                            <a:avLst/>
                          </a:prstGeom>
                        </pic:spPr>
                      </pic:pic>
                    </a:graphicData>
                  </a:graphic>
                </wp:inline>
              </w:drawing>
            </w:r>
          </w:p>
        </w:tc>
      </w:tr>
      <w:tr w:rsidR="00940E09" w:rsidRPr="00AF6193" w14:paraId="48D8FB4B" w14:textId="77777777" w:rsidTr="000F148F">
        <w:tc>
          <w:tcPr>
            <w:cnfStyle w:val="001000000000" w:firstRow="0" w:lastRow="0" w:firstColumn="1" w:lastColumn="0" w:oddVBand="0" w:evenVBand="0" w:oddHBand="0" w:evenHBand="0" w:firstRowFirstColumn="0" w:firstRowLastColumn="0" w:lastRowFirstColumn="0" w:lastRowLastColumn="0"/>
            <w:tcW w:w="2518" w:type="dxa"/>
          </w:tcPr>
          <w:p w14:paraId="5406C7D2" w14:textId="77777777" w:rsidR="00940E09" w:rsidRPr="00AF6193" w:rsidRDefault="00940E09" w:rsidP="00F05000">
            <w:pPr>
              <w:spacing w:before="120" w:after="120"/>
            </w:pPr>
            <w:r w:rsidRPr="00AF6193">
              <w:t xml:space="preserve">ASTM F2057-19 </w:t>
            </w:r>
          </w:p>
        </w:tc>
        <w:tc>
          <w:tcPr>
            <w:tcW w:w="3135" w:type="dxa"/>
          </w:tcPr>
          <w:p w14:paraId="232C938A" w14:textId="33857E96" w:rsidR="00940E09" w:rsidRPr="00AF6193" w:rsidRDefault="00940E09" w:rsidP="00F05000">
            <w:pPr>
              <w:spacing w:before="120" w:after="120"/>
              <w:cnfStyle w:val="000000000000" w:firstRow="0" w:lastRow="0" w:firstColumn="0" w:lastColumn="0" w:oddVBand="0" w:evenVBand="0" w:oddHBand="0" w:evenHBand="0" w:firstRowFirstColumn="0" w:firstRowLastColumn="0" w:lastRowFirstColumn="0" w:lastRowLastColumn="0"/>
            </w:pPr>
            <w:r w:rsidRPr="00AF6193">
              <w:t xml:space="preserve">Warning labels must be permanent and should state tip over restraints should always be installed. </w:t>
            </w:r>
          </w:p>
          <w:p w14:paraId="0024DD38" w14:textId="77777777" w:rsidR="00940E09" w:rsidRPr="00AF6193" w:rsidRDefault="00940E09" w:rsidP="00F05000">
            <w:pPr>
              <w:spacing w:before="120" w:after="120"/>
              <w:cnfStyle w:val="000000000000" w:firstRow="0" w:lastRow="0" w:firstColumn="0" w:lastColumn="0" w:oddVBand="0" w:evenVBand="0" w:oddHBand="0" w:evenHBand="0" w:firstRowFirstColumn="0" w:firstRowLastColumn="0" w:lastRowFirstColumn="0" w:lastRowLastColumn="0"/>
            </w:pPr>
            <w:r w:rsidRPr="00AF6193">
              <w:t>Requires a pictogram that portrays the danger but not the prevention.</w:t>
            </w:r>
          </w:p>
        </w:tc>
        <w:tc>
          <w:tcPr>
            <w:tcW w:w="3561" w:type="dxa"/>
          </w:tcPr>
          <w:p w14:paraId="214756C8" w14:textId="77777777" w:rsidR="00940E09" w:rsidRPr="00AF6193" w:rsidRDefault="00940E09" w:rsidP="00F05000">
            <w:pPr>
              <w:spacing w:before="120" w:after="120"/>
              <w:cnfStyle w:val="000000000000" w:firstRow="0" w:lastRow="0" w:firstColumn="0" w:lastColumn="0" w:oddVBand="0" w:evenVBand="0" w:oddHBand="0" w:evenHBand="0" w:firstRowFirstColumn="0" w:firstRowLastColumn="0" w:lastRowFirstColumn="0" w:lastRowLastColumn="0"/>
            </w:pPr>
            <w:r w:rsidRPr="00AF6193">
              <w:rPr>
                <w:noProof/>
                <w:lang w:eastAsia="en-AU"/>
              </w:rPr>
              <w:drawing>
                <wp:inline distT="0" distB="0" distL="0" distR="0" wp14:anchorId="3B91AD3E" wp14:editId="5D2C91E9">
                  <wp:extent cx="2397990" cy="1076325"/>
                  <wp:effectExtent l="0" t="0" r="254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410660" cy="1082012"/>
                          </a:xfrm>
                          <a:prstGeom prst="rect">
                            <a:avLst/>
                          </a:prstGeom>
                        </pic:spPr>
                      </pic:pic>
                    </a:graphicData>
                  </a:graphic>
                </wp:inline>
              </w:drawing>
            </w:r>
          </w:p>
        </w:tc>
      </w:tr>
    </w:tbl>
    <w:p w14:paraId="472D3CCB" w14:textId="01828A88" w:rsidR="00940E09" w:rsidRPr="00AF6193" w:rsidRDefault="00940E09" w:rsidP="00F05000">
      <w:pPr>
        <w:spacing w:before="120"/>
      </w:pPr>
      <w:r w:rsidRPr="00AF6193">
        <w:t>US CPSC research indicates a warning label with a pictogram that clearly shows the danger and how to prevent it is the most comprehensible to consumers.</w:t>
      </w:r>
      <w:r w:rsidRPr="00AF6193">
        <w:rPr>
          <w:rStyle w:val="FootnoteReference"/>
        </w:rPr>
        <w:footnoteReference w:id="38"/>
      </w:r>
    </w:p>
    <w:p w14:paraId="2D821BB4" w14:textId="77777777" w:rsidR="00940E09" w:rsidRPr="00AF6193" w:rsidRDefault="00940E09" w:rsidP="00F05000">
      <w:pPr>
        <w:spacing w:before="120"/>
      </w:pPr>
      <w:r w:rsidRPr="00AF6193">
        <w:t xml:space="preserve">Some examples of pictograms used in the US CPSC research are below. </w:t>
      </w:r>
      <w:r w:rsidRPr="00AF6193">
        <w:rPr>
          <w:u w:val="single"/>
        </w:rPr>
        <w:t>Variant 1</w:t>
      </w:r>
      <w:r w:rsidRPr="00AF6193">
        <w:t xml:space="preserve"> was the most comprehensible, with participants correctly identifying the hazard and perceiving that attaching furniture to the wall was recommended to prevent tip-over. It was less clear that children should be prohibited from climbing furniture regardless of whether it was anchored. The use of the green tick and red cross and the lines depicting motion were helpful indicators.</w:t>
      </w:r>
    </w:p>
    <w:p w14:paraId="736D87B4" w14:textId="15AC1D64" w:rsidR="00940E09" w:rsidRDefault="00940E09" w:rsidP="00F05000">
      <w:pPr>
        <w:spacing w:before="120"/>
        <w:rPr>
          <w:sz w:val="20"/>
          <w:szCs w:val="20"/>
        </w:rPr>
      </w:pPr>
      <w:r w:rsidRPr="005D4886">
        <w:rPr>
          <w:noProof/>
          <w:sz w:val="20"/>
          <w:szCs w:val="20"/>
          <w:lang w:eastAsia="en-AU"/>
        </w:rPr>
        <w:drawing>
          <wp:inline distT="0" distB="0" distL="0" distR="0" wp14:anchorId="1F4D1955" wp14:editId="11E6850B">
            <wp:extent cx="5726878" cy="1180465"/>
            <wp:effectExtent l="0" t="0" r="7620" b="635"/>
            <wp:docPr id="63" name="Picture 6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medium confidence"/>
                    <pic:cNvPicPr/>
                  </pic:nvPicPr>
                  <pic:blipFill rotWithShape="1">
                    <a:blip r:embed="rId30" cstate="print">
                      <a:extLst>
                        <a:ext uri="{28A0092B-C50C-407E-A947-70E740481C1C}">
                          <a14:useLocalDpi xmlns:a14="http://schemas.microsoft.com/office/drawing/2010/main" val="0"/>
                        </a:ext>
                      </a:extLst>
                    </a:blip>
                    <a:srcRect t="14616" b="9908"/>
                    <a:stretch/>
                  </pic:blipFill>
                  <pic:spPr bwMode="auto">
                    <a:xfrm>
                      <a:off x="0" y="0"/>
                      <a:ext cx="5787363" cy="1192933"/>
                    </a:xfrm>
                    <a:prstGeom prst="rect">
                      <a:avLst/>
                    </a:prstGeom>
                    <a:ln>
                      <a:noFill/>
                    </a:ln>
                    <a:extLst>
                      <a:ext uri="{53640926-AAD7-44D8-BBD7-CCE9431645EC}">
                        <a14:shadowObscured xmlns:a14="http://schemas.microsoft.com/office/drawing/2010/main"/>
                      </a:ext>
                    </a:extLst>
                  </pic:spPr>
                </pic:pic>
              </a:graphicData>
            </a:graphic>
          </wp:inline>
        </w:drawing>
      </w:r>
    </w:p>
    <w:p w14:paraId="210D510E" w14:textId="77777777" w:rsidR="00770572" w:rsidRPr="005D4886" w:rsidRDefault="00770572" w:rsidP="00F05000">
      <w:pPr>
        <w:spacing w:before="120"/>
        <w:rPr>
          <w:sz w:val="20"/>
          <w:szCs w:val="20"/>
        </w:rPr>
      </w:pPr>
    </w:p>
    <w:p w14:paraId="45490DF5" w14:textId="2F472F5D" w:rsidR="00213742" w:rsidRPr="00331F51" w:rsidRDefault="009F47A5" w:rsidP="00F05000">
      <w:pPr>
        <w:pStyle w:val="Heading3"/>
        <w:spacing w:before="120"/>
      </w:pPr>
      <w:bookmarkStart w:id="622" w:name="_Toc126074139"/>
      <w:r>
        <w:t>Compliant w</w:t>
      </w:r>
      <w:r w:rsidR="00213742" w:rsidRPr="00331F51">
        <w:t>arn</w:t>
      </w:r>
      <w:r w:rsidR="00213742" w:rsidRPr="003537AA">
        <w:t>ing lab</w:t>
      </w:r>
      <w:r w:rsidR="00213742" w:rsidRPr="00B46102">
        <w:t xml:space="preserve">el and safety information </w:t>
      </w:r>
      <w:r>
        <w:t>example</w:t>
      </w:r>
      <w:bookmarkEnd w:id="622"/>
    </w:p>
    <w:p w14:paraId="4BFBF0E3" w14:textId="605E6455" w:rsidR="00940E09" w:rsidRDefault="00940E09" w:rsidP="00F05000">
      <w:pPr>
        <w:spacing w:before="120"/>
      </w:pPr>
      <w:r w:rsidRPr="00AF6193">
        <w:t xml:space="preserve">The ACCC proposes to require a warning label and safety information that has similar content and form to </w:t>
      </w:r>
      <w:r w:rsidR="0014042B">
        <w:t>the American Standard</w:t>
      </w:r>
      <w:r w:rsidR="003E170D">
        <w:t xml:space="preserve"> (</w:t>
      </w:r>
      <w:r w:rsidR="003E170D" w:rsidRPr="00AF6193">
        <w:t>ASTM F2057-19</w:t>
      </w:r>
      <w:r w:rsidR="003E170D">
        <w:t>)</w:t>
      </w:r>
      <w:r w:rsidRPr="00AF6193">
        <w:t xml:space="preserve"> and pictograms similar to Variant 1 above. Additional information on how to secure the furniture using the anchoring device will be required in the assembly instructions. </w:t>
      </w:r>
    </w:p>
    <w:p w14:paraId="50DE8673" w14:textId="50618A90" w:rsidR="00280971" w:rsidRDefault="008C6A6F" w:rsidP="00F05000">
      <w:pPr>
        <w:spacing w:before="120"/>
      </w:pPr>
      <w:r>
        <w:t>E</w:t>
      </w:r>
      <w:r w:rsidR="000A2717">
        <w:t xml:space="preserve">xample of </w:t>
      </w:r>
      <w:r w:rsidR="00EE035B">
        <w:t>compliant</w:t>
      </w:r>
      <w:r w:rsidR="000A2717">
        <w:t xml:space="preserve"> warning label</w:t>
      </w:r>
      <w:r w:rsidR="00033D1D">
        <w:t xml:space="preserve"> (not to scale)</w:t>
      </w:r>
      <w:r w:rsidR="00B766C2">
        <w:t>:</w:t>
      </w:r>
    </w:p>
    <w:p w14:paraId="455BE5B3" w14:textId="490DA7AE" w:rsidR="001C2871" w:rsidRDefault="005E514F" w:rsidP="001A7FEF">
      <w:pPr>
        <w:keepNext/>
        <w:spacing w:before="120"/>
      </w:pPr>
      <w:r>
        <w:rPr>
          <w:noProof/>
          <w:lang w:eastAsia="en-AU"/>
        </w:rPr>
        <w:drawing>
          <wp:anchor distT="0" distB="0" distL="114300" distR="114300" simplePos="0" relativeHeight="251668480" behindDoc="1" locked="0" layoutInCell="1" allowOverlap="1" wp14:anchorId="0CF9C1B7" wp14:editId="44C0D1AF">
            <wp:simplePos x="0" y="0"/>
            <wp:positionH relativeFrom="column">
              <wp:posOffset>2800350</wp:posOffset>
            </wp:positionH>
            <wp:positionV relativeFrom="paragraph">
              <wp:posOffset>57785</wp:posOffset>
            </wp:positionV>
            <wp:extent cx="2667000" cy="3917950"/>
            <wp:effectExtent l="0" t="0" r="0" b="0"/>
            <wp:wrapTight wrapText="bothSides">
              <wp:wrapPolygon edited="0">
                <wp:start x="0" y="0"/>
                <wp:lineTo x="0" y="21530"/>
                <wp:lineTo x="21446" y="21530"/>
                <wp:lineTo x="214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67000" cy="3917950"/>
                    </a:xfrm>
                    <a:prstGeom prst="rect">
                      <a:avLst/>
                    </a:prstGeom>
                    <a:noFill/>
                  </pic:spPr>
                </pic:pic>
              </a:graphicData>
            </a:graphic>
            <wp14:sizeRelH relativeFrom="margin">
              <wp14:pctWidth>0</wp14:pctWidth>
            </wp14:sizeRelH>
            <wp14:sizeRelV relativeFrom="margin">
              <wp14:pctHeight>0</wp14:pctHeight>
            </wp14:sizeRelV>
          </wp:anchor>
        </w:drawing>
      </w:r>
      <w:r w:rsidR="002E7CB0">
        <w:rPr>
          <w:noProof/>
          <w:lang w:eastAsia="en-AU"/>
        </w:rPr>
        <w:drawing>
          <wp:inline distT="0" distB="0" distL="0" distR="0" wp14:anchorId="32E35AD0" wp14:editId="3FA2ED2F">
            <wp:extent cx="2667844" cy="398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6716" cy="4069309"/>
                    </a:xfrm>
                    <a:prstGeom prst="rect">
                      <a:avLst/>
                    </a:prstGeom>
                    <a:noFill/>
                  </pic:spPr>
                </pic:pic>
              </a:graphicData>
            </a:graphic>
          </wp:inline>
        </w:drawing>
      </w:r>
    </w:p>
    <w:p w14:paraId="1C6218F2" w14:textId="08FB3445" w:rsidR="001C2871" w:rsidRPr="005E514F" w:rsidRDefault="001C2871" w:rsidP="001A7FEF">
      <w:pPr>
        <w:pStyle w:val="Caption"/>
        <w:rPr>
          <w:i/>
          <w:iCs/>
          <w:szCs w:val="16"/>
          <w:vertAlign w:val="superscript"/>
        </w:rPr>
      </w:pPr>
      <w:r w:rsidRPr="001A7FEF">
        <w:rPr>
          <w:b w:val="0"/>
          <w:bCs w:val="0"/>
          <w:i/>
          <w:iCs/>
          <w:sz w:val="22"/>
          <w:szCs w:val="16"/>
          <w:vertAlign w:val="superscript"/>
        </w:rPr>
        <w:t xml:space="preserve">Compliant with Category </w:t>
      </w:r>
      <w:r w:rsidRPr="001A7FEF">
        <w:rPr>
          <w:b w:val="0"/>
          <w:bCs w:val="0"/>
          <w:i/>
          <w:iCs/>
          <w:sz w:val="22"/>
          <w:szCs w:val="16"/>
          <w:vertAlign w:val="superscript"/>
        </w:rPr>
        <w:fldChar w:fldCharType="begin"/>
      </w:r>
      <w:r w:rsidRPr="001A7FEF">
        <w:rPr>
          <w:b w:val="0"/>
          <w:bCs w:val="0"/>
          <w:i/>
          <w:iCs/>
          <w:sz w:val="22"/>
          <w:szCs w:val="16"/>
          <w:vertAlign w:val="superscript"/>
        </w:rPr>
        <w:instrText xml:space="preserve"> SEQ Compliant_with_Category_1_and_3 \* ARABIC </w:instrText>
      </w:r>
      <w:r w:rsidRPr="001A7FEF">
        <w:rPr>
          <w:b w:val="0"/>
          <w:bCs w:val="0"/>
          <w:i/>
          <w:iCs/>
          <w:sz w:val="22"/>
          <w:szCs w:val="16"/>
          <w:vertAlign w:val="superscript"/>
        </w:rPr>
        <w:fldChar w:fldCharType="separate"/>
      </w:r>
      <w:r w:rsidR="00FA7021">
        <w:rPr>
          <w:b w:val="0"/>
          <w:bCs w:val="0"/>
          <w:i/>
          <w:iCs/>
          <w:noProof/>
          <w:sz w:val="22"/>
          <w:szCs w:val="16"/>
          <w:vertAlign w:val="superscript"/>
        </w:rPr>
        <w:t>1</w:t>
      </w:r>
      <w:r w:rsidRPr="001A7FEF">
        <w:rPr>
          <w:b w:val="0"/>
          <w:bCs w:val="0"/>
          <w:i/>
          <w:iCs/>
          <w:sz w:val="22"/>
          <w:szCs w:val="16"/>
          <w:vertAlign w:val="superscript"/>
        </w:rPr>
        <w:fldChar w:fldCharType="end"/>
      </w:r>
      <w:r w:rsidRPr="001A7FEF">
        <w:rPr>
          <w:b w:val="0"/>
          <w:bCs w:val="0"/>
          <w:i/>
          <w:iCs/>
          <w:sz w:val="22"/>
          <w:szCs w:val="16"/>
          <w:vertAlign w:val="superscript"/>
        </w:rPr>
        <w:t xml:space="preserve"> &amp; 3</w:t>
      </w:r>
      <w:r w:rsidR="005E514F">
        <w:rPr>
          <w:b w:val="0"/>
          <w:bCs w:val="0"/>
          <w:i/>
          <w:iCs/>
          <w:sz w:val="22"/>
          <w:szCs w:val="16"/>
          <w:vertAlign w:val="superscript"/>
        </w:rPr>
        <w:tab/>
      </w:r>
      <w:r w:rsidR="005E514F">
        <w:rPr>
          <w:b w:val="0"/>
          <w:bCs w:val="0"/>
          <w:i/>
          <w:iCs/>
          <w:sz w:val="22"/>
          <w:szCs w:val="16"/>
          <w:vertAlign w:val="superscript"/>
        </w:rPr>
        <w:tab/>
      </w:r>
      <w:r w:rsidR="005E514F">
        <w:rPr>
          <w:b w:val="0"/>
          <w:bCs w:val="0"/>
          <w:i/>
          <w:iCs/>
          <w:sz w:val="22"/>
          <w:szCs w:val="16"/>
          <w:vertAlign w:val="superscript"/>
        </w:rPr>
        <w:tab/>
      </w:r>
      <w:r w:rsidR="005E514F">
        <w:rPr>
          <w:b w:val="0"/>
          <w:bCs w:val="0"/>
          <w:i/>
          <w:iCs/>
          <w:sz w:val="22"/>
          <w:szCs w:val="16"/>
          <w:vertAlign w:val="superscript"/>
        </w:rPr>
        <w:tab/>
      </w:r>
      <w:r w:rsidR="005E514F">
        <w:rPr>
          <w:b w:val="0"/>
          <w:bCs w:val="0"/>
          <w:i/>
          <w:iCs/>
          <w:sz w:val="22"/>
          <w:szCs w:val="16"/>
          <w:vertAlign w:val="superscript"/>
        </w:rPr>
        <w:tab/>
      </w:r>
      <w:r w:rsidR="005E514F">
        <w:rPr>
          <w:b w:val="0"/>
          <w:bCs w:val="0"/>
          <w:i/>
          <w:iCs/>
          <w:sz w:val="22"/>
          <w:szCs w:val="16"/>
          <w:vertAlign w:val="superscript"/>
        </w:rPr>
        <w:tab/>
      </w:r>
      <w:r w:rsidR="005E514F">
        <w:rPr>
          <w:b w:val="0"/>
          <w:bCs w:val="0"/>
          <w:i/>
          <w:iCs/>
          <w:sz w:val="22"/>
          <w:szCs w:val="16"/>
          <w:vertAlign w:val="superscript"/>
        </w:rPr>
        <w:tab/>
      </w:r>
      <w:r w:rsidR="005E514F">
        <w:rPr>
          <w:b w:val="0"/>
          <w:bCs w:val="0"/>
          <w:i/>
          <w:iCs/>
          <w:sz w:val="22"/>
          <w:szCs w:val="16"/>
          <w:vertAlign w:val="superscript"/>
        </w:rPr>
        <w:tab/>
      </w:r>
      <w:r w:rsidR="005E514F">
        <w:rPr>
          <w:b w:val="0"/>
          <w:bCs w:val="0"/>
          <w:i/>
          <w:iCs/>
          <w:sz w:val="22"/>
          <w:szCs w:val="16"/>
          <w:vertAlign w:val="superscript"/>
        </w:rPr>
        <w:tab/>
      </w:r>
      <w:r w:rsidR="005E514F">
        <w:rPr>
          <w:b w:val="0"/>
          <w:bCs w:val="0"/>
          <w:i/>
          <w:iCs/>
          <w:sz w:val="22"/>
          <w:szCs w:val="16"/>
          <w:vertAlign w:val="superscript"/>
        </w:rPr>
        <w:tab/>
        <w:t>Compliant with Category 2</w:t>
      </w:r>
    </w:p>
    <w:p w14:paraId="544D3922" w14:textId="77777777" w:rsidR="00B766C2" w:rsidRPr="00F05000" w:rsidRDefault="00B766C2" w:rsidP="00B766C2">
      <w:pPr>
        <w:pStyle w:val="Heading3"/>
        <w:spacing w:before="120"/>
      </w:pPr>
      <w:bookmarkStart w:id="623" w:name="_Toc126074140"/>
      <w:r w:rsidRPr="00F05000">
        <w:t>Providing warnings online</w:t>
      </w:r>
      <w:bookmarkEnd w:id="623"/>
    </w:p>
    <w:p w14:paraId="3195B3B4" w14:textId="77777777" w:rsidR="00B766C2" w:rsidRPr="00AF6193" w:rsidRDefault="00B766C2" w:rsidP="00B766C2">
      <w:pPr>
        <w:spacing w:before="120"/>
      </w:pPr>
      <w:r w:rsidRPr="00AF6193">
        <w:t>Online retailers will be required to provide information online on the listing page and/or at the checkout. The warning will be required to include:</w:t>
      </w:r>
    </w:p>
    <w:p w14:paraId="571BDEE0" w14:textId="77777777" w:rsidR="00B766C2" w:rsidRPr="00AF6193" w:rsidRDefault="00B766C2" w:rsidP="00806096">
      <w:pPr>
        <w:pStyle w:val="ListParagraph"/>
        <w:numPr>
          <w:ilvl w:val="0"/>
          <w:numId w:val="37"/>
        </w:numPr>
      </w:pPr>
      <w:r w:rsidRPr="00AF6193">
        <w:t>a warning that toppling furniture can result in serious injury or death</w:t>
      </w:r>
    </w:p>
    <w:p w14:paraId="63421316" w14:textId="77777777" w:rsidR="00B766C2" w:rsidRPr="00AF6193" w:rsidRDefault="00B766C2" w:rsidP="00806096">
      <w:pPr>
        <w:pStyle w:val="ListParagraph"/>
        <w:numPr>
          <w:ilvl w:val="0"/>
          <w:numId w:val="37"/>
        </w:numPr>
      </w:pPr>
      <w:r w:rsidRPr="00AF6193">
        <w:t xml:space="preserve">how to prevent furniture toppling, such as not placing a </w:t>
      </w:r>
      <w:r>
        <w:t>television</w:t>
      </w:r>
      <w:r w:rsidRPr="00AF6193">
        <w:t xml:space="preserve"> on top</w:t>
      </w:r>
      <w:r>
        <w:t>,</w:t>
      </w:r>
      <w:r w:rsidRPr="00AF6193">
        <w:t xml:space="preserve"> or by anchoring</w:t>
      </w:r>
    </w:p>
    <w:p w14:paraId="55AE404C" w14:textId="2AC17584" w:rsidR="004A06EE" w:rsidRPr="00AF6193" w:rsidRDefault="00B766C2" w:rsidP="00B70FC6">
      <w:pPr>
        <w:pStyle w:val="ListParagraph"/>
        <w:numPr>
          <w:ilvl w:val="0"/>
          <w:numId w:val="37"/>
        </w:numPr>
      </w:pPr>
      <w:r w:rsidRPr="00AF6193">
        <w:t xml:space="preserve">where to go to get further information (e.g. online, </w:t>
      </w:r>
      <w:r>
        <w:t xml:space="preserve">supplied </w:t>
      </w:r>
      <w:r w:rsidRPr="00AF6193">
        <w:t xml:space="preserve">with the product). </w:t>
      </w:r>
      <w:bookmarkStart w:id="624" w:name="_Toc113977303"/>
      <w:bookmarkStart w:id="625" w:name="_Toc114039402"/>
      <w:bookmarkStart w:id="626" w:name="_Toc114143071"/>
      <w:bookmarkStart w:id="627" w:name="_Toc114232770"/>
      <w:bookmarkStart w:id="628" w:name="_Toc114233248"/>
      <w:bookmarkStart w:id="629" w:name="_Toc114233725"/>
      <w:bookmarkStart w:id="630" w:name="_Toc115341395"/>
      <w:bookmarkStart w:id="631" w:name="_Toc115341904"/>
      <w:bookmarkStart w:id="632" w:name="_Toc115342413"/>
      <w:bookmarkStart w:id="633" w:name="_Toc116285742"/>
      <w:bookmarkStart w:id="634" w:name="_Toc113977304"/>
      <w:bookmarkStart w:id="635" w:name="_Toc114039403"/>
      <w:bookmarkStart w:id="636" w:name="_Toc114143072"/>
      <w:bookmarkStart w:id="637" w:name="_Toc114232771"/>
      <w:bookmarkStart w:id="638" w:name="_Toc114233249"/>
      <w:bookmarkStart w:id="639" w:name="_Toc114233726"/>
      <w:bookmarkStart w:id="640" w:name="_Toc115341396"/>
      <w:bookmarkStart w:id="641" w:name="_Toc115341905"/>
      <w:bookmarkStart w:id="642" w:name="_Toc115342414"/>
      <w:bookmarkStart w:id="643" w:name="_Toc116285743"/>
      <w:bookmarkStart w:id="644" w:name="_Toc113977305"/>
      <w:bookmarkStart w:id="645" w:name="_Toc114039404"/>
      <w:bookmarkStart w:id="646" w:name="_Toc114143073"/>
      <w:bookmarkStart w:id="647" w:name="_Toc114232772"/>
      <w:bookmarkStart w:id="648" w:name="_Toc114233250"/>
      <w:bookmarkStart w:id="649" w:name="_Toc114233727"/>
      <w:bookmarkStart w:id="650" w:name="_Toc115341397"/>
      <w:bookmarkStart w:id="651" w:name="_Toc115341906"/>
      <w:bookmarkStart w:id="652" w:name="_Toc115342415"/>
      <w:bookmarkStart w:id="653" w:name="_Toc116285744"/>
      <w:bookmarkStart w:id="654" w:name="_Toc113977323"/>
      <w:bookmarkStart w:id="655" w:name="_Toc114039422"/>
      <w:bookmarkStart w:id="656" w:name="_Toc114143091"/>
      <w:bookmarkStart w:id="657" w:name="_Toc114232790"/>
      <w:bookmarkStart w:id="658" w:name="_Toc114233268"/>
      <w:bookmarkStart w:id="659" w:name="_Toc114233745"/>
      <w:bookmarkStart w:id="660" w:name="_Toc115341415"/>
      <w:bookmarkStart w:id="661" w:name="_Toc115341924"/>
      <w:bookmarkStart w:id="662" w:name="_Toc115342433"/>
      <w:bookmarkStart w:id="663" w:name="_Toc116285762"/>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3BEFC399" w14:textId="4B847542" w:rsidR="002B0528" w:rsidRPr="00F05000" w:rsidRDefault="00B7283E" w:rsidP="00F05000">
      <w:pPr>
        <w:pStyle w:val="Heading3"/>
        <w:spacing w:before="120"/>
      </w:pPr>
      <w:bookmarkStart w:id="664" w:name="_Toc113977300"/>
      <w:bookmarkStart w:id="665" w:name="_Toc114039399"/>
      <w:bookmarkStart w:id="666" w:name="_Toc114143067"/>
      <w:bookmarkStart w:id="667" w:name="_Toc114232766"/>
      <w:bookmarkStart w:id="668" w:name="_Toc114233244"/>
      <w:bookmarkStart w:id="669" w:name="_Toc114233721"/>
      <w:bookmarkStart w:id="670" w:name="_Toc115341391"/>
      <w:bookmarkStart w:id="671" w:name="_Toc115341900"/>
      <w:bookmarkStart w:id="672" w:name="_Toc115342409"/>
      <w:bookmarkStart w:id="673" w:name="_Toc116285738"/>
      <w:bookmarkStart w:id="674" w:name="_Toc116290830"/>
      <w:bookmarkStart w:id="675" w:name="_Toc99466136"/>
      <w:bookmarkStart w:id="676" w:name="_Toc99466266"/>
      <w:bookmarkStart w:id="677" w:name="_Toc99466511"/>
      <w:bookmarkStart w:id="678" w:name="_Toc100214740"/>
      <w:bookmarkStart w:id="679" w:name="_Toc103020742"/>
      <w:bookmarkStart w:id="680" w:name="_Toc126074141"/>
      <w:bookmarkEnd w:id="664"/>
      <w:bookmarkEnd w:id="665"/>
      <w:bookmarkEnd w:id="666"/>
      <w:bookmarkEnd w:id="667"/>
      <w:bookmarkEnd w:id="668"/>
      <w:bookmarkEnd w:id="669"/>
      <w:bookmarkEnd w:id="670"/>
      <w:bookmarkEnd w:id="671"/>
      <w:bookmarkEnd w:id="672"/>
      <w:bookmarkEnd w:id="673"/>
      <w:bookmarkEnd w:id="674"/>
      <w:r w:rsidRPr="00F05000">
        <w:t>Providing warnings in-store</w:t>
      </w:r>
      <w:bookmarkEnd w:id="675"/>
      <w:bookmarkEnd w:id="676"/>
      <w:bookmarkEnd w:id="677"/>
      <w:bookmarkEnd w:id="678"/>
      <w:bookmarkEnd w:id="679"/>
      <w:bookmarkEnd w:id="680"/>
    </w:p>
    <w:p w14:paraId="210CB005" w14:textId="7F923DED" w:rsidR="00B7283E" w:rsidRPr="00AF6193" w:rsidRDefault="00213742" w:rsidP="00F05000">
      <w:pPr>
        <w:spacing w:before="120"/>
      </w:pPr>
      <w:r>
        <w:t>The</w:t>
      </w:r>
      <w:r w:rsidR="00A404AF">
        <w:t xml:space="preserve"> </w:t>
      </w:r>
      <w:r w:rsidR="00822F73">
        <w:t xml:space="preserve">mandatory </w:t>
      </w:r>
      <w:r w:rsidR="00A404AF">
        <w:t xml:space="preserve">information standard will </w:t>
      </w:r>
      <w:r w:rsidR="009D1EC2" w:rsidRPr="00AF6193">
        <w:t>require</w:t>
      </w:r>
      <w:r w:rsidR="00A404AF">
        <w:t xml:space="preserve"> retailers </w:t>
      </w:r>
      <w:r w:rsidR="009D1EC2" w:rsidRPr="00AF6193">
        <w:t>to provide warning information in store, including</w:t>
      </w:r>
      <w:r w:rsidR="00843B5A" w:rsidRPr="00AF6193">
        <w:t xml:space="preserve"> a hang tag attached to display furniture </w:t>
      </w:r>
      <w:r w:rsidR="00DD6217" w:rsidRPr="00AF6193">
        <w:t>or</w:t>
      </w:r>
      <w:r w:rsidR="00843B5A" w:rsidRPr="00AF6193">
        <w:t xml:space="preserve"> a placard located in the vicinity where furniture is displayed.</w:t>
      </w:r>
      <w:r w:rsidR="00FA4CCE" w:rsidRPr="00AF6193">
        <w:t xml:space="preserve"> Both are required to </w:t>
      </w:r>
      <w:r w:rsidR="002215D9" w:rsidRPr="00AF6193">
        <w:t>include:</w:t>
      </w:r>
    </w:p>
    <w:p w14:paraId="1EAA420D" w14:textId="5D1439F1" w:rsidR="00FA4CCE" w:rsidRPr="00AF6193" w:rsidRDefault="002215D9" w:rsidP="00806096">
      <w:pPr>
        <w:pStyle w:val="ListParagraph"/>
        <w:numPr>
          <w:ilvl w:val="0"/>
          <w:numId w:val="37"/>
        </w:numPr>
      </w:pPr>
      <w:r w:rsidRPr="00AF6193">
        <w:t>a</w:t>
      </w:r>
      <w:r w:rsidR="00FA4CCE" w:rsidRPr="00AF6193">
        <w:t xml:space="preserve"> warning </w:t>
      </w:r>
      <w:r w:rsidR="00325A79" w:rsidRPr="00AF6193">
        <w:t>that</w:t>
      </w:r>
      <w:r w:rsidR="00FA4CCE" w:rsidRPr="00AF6193">
        <w:t xml:space="preserve"> toppling furniture </w:t>
      </w:r>
      <w:r w:rsidR="00325A79" w:rsidRPr="00AF6193">
        <w:t>can result in serious injury or death</w:t>
      </w:r>
    </w:p>
    <w:p w14:paraId="1F7F5989" w14:textId="67F93D51" w:rsidR="00FA4CCE" w:rsidRPr="00AF6193" w:rsidRDefault="00325A79" w:rsidP="00806096">
      <w:pPr>
        <w:pStyle w:val="ListParagraph"/>
        <w:numPr>
          <w:ilvl w:val="0"/>
          <w:numId w:val="37"/>
        </w:numPr>
      </w:pPr>
      <w:r w:rsidRPr="00AF6193">
        <w:t>h</w:t>
      </w:r>
      <w:r w:rsidR="00FA4CCE" w:rsidRPr="00AF6193">
        <w:t>ow to prevent furniture toppling, such as</w:t>
      </w:r>
      <w:r w:rsidR="00BF2FB3" w:rsidRPr="00AF6193">
        <w:t xml:space="preserve"> not placing a </w:t>
      </w:r>
      <w:r w:rsidR="002F370A" w:rsidRPr="00AF6193">
        <w:t xml:space="preserve">television </w:t>
      </w:r>
      <w:r w:rsidR="00BF2FB3" w:rsidRPr="00AF6193">
        <w:t>on top</w:t>
      </w:r>
      <w:r w:rsidR="00354246">
        <w:t>,</w:t>
      </w:r>
      <w:r w:rsidR="00BF2FB3" w:rsidRPr="00AF6193">
        <w:t xml:space="preserve"> or</w:t>
      </w:r>
      <w:r w:rsidR="00FA4CCE" w:rsidRPr="00AF6193">
        <w:t xml:space="preserve"> by anchoring</w:t>
      </w:r>
    </w:p>
    <w:p w14:paraId="4DAB0A9F" w14:textId="3A93BC31" w:rsidR="00770572" w:rsidRDefault="00DD6217" w:rsidP="00806096">
      <w:pPr>
        <w:pStyle w:val="ListParagraph"/>
        <w:numPr>
          <w:ilvl w:val="0"/>
          <w:numId w:val="37"/>
        </w:numPr>
      </w:pPr>
      <w:r w:rsidRPr="00AF6193">
        <w:t>where to go to get further information (</w:t>
      </w:r>
      <w:r w:rsidR="009914DF" w:rsidRPr="00AF6193">
        <w:t>e.g.</w:t>
      </w:r>
      <w:r w:rsidRPr="00AF6193">
        <w:t xml:space="preserve"> online, talk to staff</w:t>
      </w:r>
      <w:r w:rsidR="00BF2FB3" w:rsidRPr="00AF6193">
        <w:t>)</w:t>
      </w:r>
      <w:r w:rsidR="00167662" w:rsidRPr="00AF6193">
        <w:t>.</w:t>
      </w:r>
      <w:bookmarkStart w:id="681" w:name="_Toc99466137"/>
      <w:bookmarkStart w:id="682" w:name="_Toc99466267"/>
      <w:bookmarkStart w:id="683" w:name="_Toc99466512"/>
      <w:bookmarkStart w:id="684" w:name="_Toc100214741"/>
      <w:bookmarkStart w:id="685" w:name="_Toc103020743"/>
    </w:p>
    <w:p w14:paraId="59234D57" w14:textId="4B149BF4" w:rsidR="00213742" w:rsidRPr="00331F51" w:rsidRDefault="0034028C" w:rsidP="00F05000">
      <w:pPr>
        <w:pStyle w:val="Heading3"/>
        <w:spacing w:before="120"/>
      </w:pPr>
      <w:bookmarkStart w:id="686" w:name="_Toc126074142"/>
      <w:r>
        <w:t>Compliant hang tag example</w:t>
      </w:r>
      <w:bookmarkEnd w:id="686"/>
    </w:p>
    <w:p w14:paraId="48B271B0" w14:textId="45658A8D" w:rsidR="00134615" w:rsidRDefault="00A404AF" w:rsidP="00134615">
      <w:pPr>
        <w:spacing w:before="120"/>
      </w:pPr>
      <w:r>
        <w:t xml:space="preserve">An example of </w:t>
      </w:r>
      <w:r w:rsidR="00B766C2">
        <w:t xml:space="preserve">compliant </w:t>
      </w:r>
      <w:r w:rsidR="00EE035B">
        <w:t>hang</w:t>
      </w:r>
      <w:r w:rsidRPr="00C02CE9">
        <w:t xml:space="preserve"> tag</w:t>
      </w:r>
      <w:r w:rsidR="00033D1D">
        <w:t xml:space="preserve"> (not to scale)</w:t>
      </w:r>
      <w:r w:rsidR="009F47A5" w:rsidRPr="00C02CE9">
        <w:t>:</w:t>
      </w:r>
    </w:p>
    <w:p w14:paraId="63811FC2" w14:textId="5EA843C6" w:rsidR="00EF721A" w:rsidRDefault="00B773C7" w:rsidP="00134615">
      <w:pPr>
        <w:spacing w:before="120"/>
      </w:pPr>
      <w:r w:rsidRPr="00EF721A">
        <w:rPr>
          <w:noProof/>
          <w:color w:val="FF0000"/>
          <w:lang w:eastAsia="en-AU"/>
        </w:rPr>
        <w:drawing>
          <wp:anchor distT="0" distB="0" distL="114300" distR="114300" simplePos="0" relativeHeight="251670528" behindDoc="1" locked="0" layoutInCell="1" allowOverlap="1" wp14:anchorId="1E76DCD9" wp14:editId="73CEBD68">
            <wp:simplePos x="0" y="0"/>
            <wp:positionH relativeFrom="column">
              <wp:posOffset>2982313</wp:posOffset>
            </wp:positionH>
            <wp:positionV relativeFrom="paragraph">
              <wp:posOffset>146756</wp:posOffset>
            </wp:positionV>
            <wp:extent cx="2057400" cy="3580130"/>
            <wp:effectExtent l="0" t="0" r="0" b="0"/>
            <wp:wrapTight wrapText="bothSides">
              <wp:wrapPolygon edited="0">
                <wp:start x="0" y="0"/>
                <wp:lineTo x="0" y="21493"/>
                <wp:lineTo x="21400" y="21493"/>
                <wp:lineTo x="2140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2057400" cy="3580130"/>
                    </a:xfrm>
                    <a:prstGeom prst="rect">
                      <a:avLst/>
                    </a:prstGeom>
                  </pic:spPr>
                </pic:pic>
              </a:graphicData>
            </a:graphic>
            <wp14:sizeRelH relativeFrom="page">
              <wp14:pctWidth>0</wp14:pctWidth>
            </wp14:sizeRelH>
            <wp14:sizeRelV relativeFrom="page">
              <wp14:pctHeight>0</wp14:pctHeight>
            </wp14:sizeRelV>
          </wp:anchor>
        </w:drawing>
      </w:r>
      <w:r w:rsidR="00EF721A" w:rsidRPr="00020446">
        <w:rPr>
          <w:noProof/>
          <w:color w:val="FF0000"/>
          <w:lang w:eastAsia="en-AU"/>
        </w:rPr>
        <w:drawing>
          <wp:anchor distT="0" distB="0" distL="114300" distR="114300" simplePos="0" relativeHeight="251669504" behindDoc="1" locked="0" layoutInCell="1" allowOverlap="1" wp14:anchorId="34C62488" wp14:editId="4B39EA2C">
            <wp:simplePos x="0" y="0"/>
            <wp:positionH relativeFrom="column">
              <wp:posOffset>66675</wp:posOffset>
            </wp:positionH>
            <wp:positionV relativeFrom="paragraph">
              <wp:posOffset>60325</wp:posOffset>
            </wp:positionV>
            <wp:extent cx="1838325" cy="4599692"/>
            <wp:effectExtent l="0" t="0" r="0" b="0"/>
            <wp:wrapTight wrapText="bothSides">
              <wp:wrapPolygon edited="0">
                <wp:start x="0" y="0"/>
                <wp:lineTo x="0" y="21472"/>
                <wp:lineTo x="21264" y="21472"/>
                <wp:lineTo x="2126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838325" cy="4599692"/>
                    </a:xfrm>
                    <a:prstGeom prst="rect">
                      <a:avLst/>
                    </a:prstGeom>
                  </pic:spPr>
                </pic:pic>
              </a:graphicData>
            </a:graphic>
            <wp14:sizeRelH relativeFrom="page">
              <wp14:pctWidth>0</wp14:pctWidth>
            </wp14:sizeRelH>
            <wp14:sizeRelV relativeFrom="page">
              <wp14:pctHeight>0</wp14:pctHeight>
            </wp14:sizeRelV>
          </wp:anchor>
        </w:drawing>
      </w:r>
    </w:p>
    <w:p w14:paraId="680FA1EA" w14:textId="393B3791" w:rsidR="00EF721A" w:rsidRDefault="00EF721A" w:rsidP="00134615">
      <w:pPr>
        <w:spacing w:before="120"/>
      </w:pPr>
    </w:p>
    <w:p w14:paraId="76933491" w14:textId="64FBEF3A" w:rsidR="00EF721A" w:rsidRDefault="00EF721A" w:rsidP="00134615">
      <w:pPr>
        <w:spacing w:before="120"/>
      </w:pPr>
    </w:p>
    <w:p w14:paraId="32CA1F31" w14:textId="732B494F" w:rsidR="00EF721A" w:rsidRDefault="00EF721A" w:rsidP="00134615">
      <w:pPr>
        <w:spacing w:before="120"/>
      </w:pPr>
    </w:p>
    <w:p w14:paraId="293D0170" w14:textId="65A32F1E" w:rsidR="00EF721A" w:rsidRDefault="00EF721A" w:rsidP="00134615">
      <w:pPr>
        <w:spacing w:before="120"/>
      </w:pPr>
    </w:p>
    <w:p w14:paraId="7F440CE2" w14:textId="47383146" w:rsidR="00EF721A" w:rsidRPr="00B766C2" w:rsidRDefault="00EF721A" w:rsidP="00134615">
      <w:pPr>
        <w:spacing w:before="120"/>
      </w:pPr>
    </w:p>
    <w:p w14:paraId="19C67E12" w14:textId="5CE02CB1" w:rsidR="00A404AF" w:rsidRDefault="00EF721A" w:rsidP="008C6A6F">
      <w:pPr>
        <w:spacing w:before="120"/>
        <w:rPr>
          <w:noProof/>
        </w:rPr>
      </w:pPr>
      <w:r w:rsidRPr="00EF721A">
        <w:rPr>
          <w:noProof/>
        </w:rPr>
        <w:t xml:space="preserve"> </w:t>
      </w:r>
    </w:p>
    <w:p w14:paraId="1F1F7A1D" w14:textId="78D187AF" w:rsidR="00EF721A" w:rsidRDefault="00EF721A" w:rsidP="008C6A6F">
      <w:pPr>
        <w:spacing w:before="120"/>
        <w:rPr>
          <w:noProof/>
        </w:rPr>
      </w:pPr>
    </w:p>
    <w:p w14:paraId="194F3CE9" w14:textId="0FE085B2" w:rsidR="00EF721A" w:rsidRDefault="00EF721A" w:rsidP="008C6A6F">
      <w:pPr>
        <w:spacing w:before="120"/>
        <w:rPr>
          <w:noProof/>
        </w:rPr>
      </w:pPr>
    </w:p>
    <w:p w14:paraId="3375C958" w14:textId="48B9F9FA" w:rsidR="00EF721A" w:rsidRDefault="00EF721A" w:rsidP="008C6A6F">
      <w:pPr>
        <w:spacing w:before="120"/>
        <w:rPr>
          <w:noProof/>
        </w:rPr>
      </w:pPr>
    </w:p>
    <w:p w14:paraId="21B7D0D3" w14:textId="23D302CD" w:rsidR="00EF721A" w:rsidRDefault="00EF721A" w:rsidP="008C6A6F">
      <w:pPr>
        <w:spacing w:before="120"/>
        <w:rPr>
          <w:noProof/>
        </w:rPr>
      </w:pPr>
    </w:p>
    <w:p w14:paraId="711F2545" w14:textId="52E5CE1D" w:rsidR="00EF721A" w:rsidRDefault="00EF721A" w:rsidP="008C6A6F">
      <w:pPr>
        <w:spacing w:before="120"/>
        <w:rPr>
          <w:noProof/>
        </w:rPr>
      </w:pPr>
    </w:p>
    <w:p w14:paraId="552106BA" w14:textId="6F0BDF64" w:rsidR="00EF721A" w:rsidRDefault="00EF721A" w:rsidP="008C6A6F">
      <w:pPr>
        <w:spacing w:before="120"/>
        <w:rPr>
          <w:noProof/>
        </w:rPr>
      </w:pPr>
    </w:p>
    <w:p w14:paraId="3585E6A8" w14:textId="6CEE8116" w:rsidR="00EF721A" w:rsidRDefault="00EF721A" w:rsidP="008C6A6F">
      <w:pPr>
        <w:spacing w:before="120"/>
        <w:rPr>
          <w:noProof/>
        </w:rPr>
      </w:pPr>
    </w:p>
    <w:p w14:paraId="14DB22D4" w14:textId="35D3DFFB" w:rsidR="00EF721A" w:rsidRDefault="00EF721A" w:rsidP="008C6A6F">
      <w:pPr>
        <w:spacing w:before="120"/>
        <w:rPr>
          <w:noProof/>
        </w:rPr>
      </w:pPr>
    </w:p>
    <w:p w14:paraId="1C44662B" w14:textId="07104C20" w:rsidR="00EF721A" w:rsidRDefault="00EF721A" w:rsidP="008C6A6F">
      <w:pPr>
        <w:spacing w:before="120"/>
        <w:rPr>
          <w:noProof/>
        </w:rPr>
      </w:pPr>
    </w:p>
    <w:p w14:paraId="17452C90" w14:textId="53CB47FC" w:rsidR="00EF721A" w:rsidRDefault="00EF721A" w:rsidP="008C6A6F">
      <w:pPr>
        <w:spacing w:before="120"/>
        <w:rPr>
          <w:noProof/>
        </w:rPr>
      </w:pPr>
    </w:p>
    <w:p w14:paraId="389566D0" w14:textId="5696125A" w:rsidR="00EF721A" w:rsidRDefault="00EF721A" w:rsidP="008C6A6F">
      <w:pPr>
        <w:spacing w:before="120"/>
        <w:rPr>
          <w:noProof/>
        </w:rPr>
      </w:pPr>
    </w:p>
    <w:p w14:paraId="564AE9E6" w14:textId="12FC0947" w:rsidR="00EF721A" w:rsidRDefault="00EF721A" w:rsidP="008C6A6F">
      <w:pPr>
        <w:spacing w:before="120"/>
        <w:rPr>
          <w:noProof/>
        </w:rPr>
      </w:pPr>
    </w:p>
    <w:p w14:paraId="69FCB1C5" w14:textId="1E3CCFA0" w:rsidR="00EF721A" w:rsidRDefault="00EF721A" w:rsidP="008C6A6F">
      <w:pPr>
        <w:spacing w:before="120"/>
        <w:rPr>
          <w:noProof/>
        </w:rPr>
      </w:pPr>
    </w:p>
    <w:p w14:paraId="7DBB9F77" w14:textId="7ADBDDD3" w:rsidR="00A32979" w:rsidRPr="005E514F" w:rsidRDefault="00A32979" w:rsidP="001A7FEF">
      <w:pPr>
        <w:pStyle w:val="Caption"/>
        <w:rPr>
          <w:i/>
          <w:iCs/>
          <w:szCs w:val="16"/>
          <w:vertAlign w:val="superscript"/>
        </w:rPr>
      </w:pPr>
      <w:r w:rsidRPr="001A7FEF">
        <w:rPr>
          <w:b w:val="0"/>
          <w:bCs w:val="0"/>
          <w:i/>
          <w:iCs/>
          <w:sz w:val="22"/>
          <w:szCs w:val="16"/>
          <w:vertAlign w:val="superscript"/>
        </w:rPr>
        <w:t>Compliant with Category</w:t>
      </w:r>
      <w:r w:rsidR="004F52F7">
        <w:rPr>
          <w:b w:val="0"/>
          <w:bCs w:val="0"/>
          <w:i/>
          <w:iCs/>
          <w:sz w:val="22"/>
          <w:szCs w:val="16"/>
          <w:vertAlign w:val="superscript"/>
        </w:rPr>
        <w:t>1</w:t>
      </w:r>
      <w:r w:rsidRPr="001A7FEF">
        <w:rPr>
          <w:b w:val="0"/>
          <w:bCs w:val="0"/>
          <w:i/>
          <w:iCs/>
          <w:sz w:val="22"/>
          <w:szCs w:val="16"/>
          <w:vertAlign w:val="superscript"/>
        </w:rPr>
        <w:t xml:space="preserve"> &amp; 3</w:t>
      </w:r>
      <w:r>
        <w:rPr>
          <w:b w:val="0"/>
          <w:bCs w:val="0"/>
          <w:i/>
          <w:iCs/>
          <w:sz w:val="22"/>
          <w:szCs w:val="16"/>
          <w:vertAlign w:val="superscript"/>
        </w:rPr>
        <w:tab/>
      </w:r>
      <w:r>
        <w:rPr>
          <w:b w:val="0"/>
          <w:bCs w:val="0"/>
          <w:i/>
          <w:iCs/>
          <w:sz w:val="22"/>
          <w:szCs w:val="16"/>
          <w:vertAlign w:val="superscript"/>
        </w:rPr>
        <w:tab/>
      </w:r>
      <w:r>
        <w:rPr>
          <w:b w:val="0"/>
          <w:bCs w:val="0"/>
          <w:i/>
          <w:iCs/>
          <w:sz w:val="22"/>
          <w:szCs w:val="16"/>
          <w:vertAlign w:val="superscript"/>
        </w:rPr>
        <w:tab/>
      </w:r>
      <w:r>
        <w:rPr>
          <w:b w:val="0"/>
          <w:bCs w:val="0"/>
          <w:i/>
          <w:iCs/>
          <w:sz w:val="22"/>
          <w:szCs w:val="16"/>
          <w:vertAlign w:val="superscript"/>
        </w:rPr>
        <w:tab/>
      </w:r>
      <w:r>
        <w:rPr>
          <w:b w:val="0"/>
          <w:bCs w:val="0"/>
          <w:i/>
          <w:iCs/>
          <w:sz w:val="22"/>
          <w:szCs w:val="16"/>
          <w:vertAlign w:val="superscript"/>
        </w:rPr>
        <w:tab/>
      </w:r>
      <w:r>
        <w:rPr>
          <w:b w:val="0"/>
          <w:bCs w:val="0"/>
          <w:i/>
          <w:iCs/>
          <w:sz w:val="22"/>
          <w:szCs w:val="16"/>
          <w:vertAlign w:val="superscript"/>
        </w:rPr>
        <w:tab/>
      </w:r>
      <w:r>
        <w:rPr>
          <w:b w:val="0"/>
          <w:bCs w:val="0"/>
          <w:i/>
          <w:iCs/>
          <w:sz w:val="22"/>
          <w:szCs w:val="16"/>
          <w:vertAlign w:val="superscript"/>
        </w:rPr>
        <w:tab/>
      </w:r>
      <w:r>
        <w:rPr>
          <w:b w:val="0"/>
          <w:bCs w:val="0"/>
          <w:i/>
          <w:iCs/>
          <w:sz w:val="22"/>
          <w:szCs w:val="16"/>
          <w:vertAlign w:val="superscript"/>
        </w:rPr>
        <w:tab/>
      </w:r>
      <w:r>
        <w:rPr>
          <w:b w:val="0"/>
          <w:bCs w:val="0"/>
          <w:i/>
          <w:iCs/>
          <w:sz w:val="22"/>
          <w:szCs w:val="16"/>
          <w:vertAlign w:val="superscript"/>
        </w:rPr>
        <w:tab/>
      </w:r>
      <w:r>
        <w:rPr>
          <w:b w:val="0"/>
          <w:bCs w:val="0"/>
          <w:i/>
          <w:iCs/>
          <w:sz w:val="22"/>
          <w:szCs w:val="16"/>
          <w:vertAlign w:val="superscript"/>
        </w:rPr>
        <w:tab/>
        <w:t>Compliant with Category 2</w:t>
      </w:r>
    </w:p>
    <w:p w14:paraId="1DF5E6AC" w14:textId="77777777" w:rsidR="00EF721A" w:rsidRPr="00F05000" w:rsidRDefault="00EF721A" w:rsidP="008C6A6F">
      <w:pPr>
        <w:spacing w:before="120"/>
        <w:rPr>
          <w:color w:val="FF0000"/>
        </w:rPr>
      </w:pPr>
    </w:p>
    <w:p w14:paraId="2B309A9B" w14:textId="44D2F951" w:rsidR="00EF721A" w:rsidRDefault="003C572E" w:rsidP="00EE035B">
      <w:pPr>
        <w:spacing w:before="120"/>
      </w:pPr>
      <w:r>
        <w:t>The</w:t>
      </w:r>
      <w:r w:rsidR="00134615">
        <w:t xml:space="preserve"> exemplar</w:t>
      </w:r>
      <w:r>
        <w:t xml:space="preserve"> </w:t>
      </w:r>
      <w:r w:rsidR="00134615">
        <w:t>is</w:t>
      </w:r>
      <w:r w:rsidR="0031205B">
        <w:t xml:space="preserve"> </w:t>
      </w:r>
      <w:r>
        <w:t>clearly</w:t>
      </w:r>
      <w:r w:rsidR="00A404AF">
        <w:t xml:space="preserve"> </w:t>
      </w:r>
      <w:r w:rsidR="0031205B">
        <w:t xml:space="preserve">legible and </w:t>
      </w:r>
      <w:r>
        <w:t>communicate</w:t>
      </w:r>
      <w:r w:rsidR="00134615">
        <w:t>s</w:t>
      </w:r>
      <w:r>
        <w:t xml:space="preserve"> </w:t>
      </w:r>
      <w:r w:rsidR="002E6FCA">
        <w:t>the risk</w:t>
      </w:r>
      <w:r>
        <w:t>s</w:t>
      </w:r>
      <w:r w:rsidR="002E6FCA">
        <w:t xml:space="preserve"> of the product to consumers, </w:t>
      </w:r>
      <w:r>
        <w:t>the importance of</w:t>
      </w:r>
      <w:r w:rsidR="002E6FCA">
        <w:t xml:space="preserve"> anchor</w:t>
      </w:r>
      <w:r>
        <w:t>ing</w:t>
      </w:r>
      <w:r w:rsidR="002E6FCA">
        <w:t xml:space="preserve"> the product and advice on how to find further information.</w:t>
      </w:r>
      <w:r w:rsidR="00A404AF">
        <w:t xml:space="preserve"> </w:t>
      </w:r>
      <w:r w:rsidR="00866EB0">
        <w:t>They include</w:t>
      </w:r>
      <w:r w:rsidR="00C637EA">
        <w:t xml:space="preserve"> visual and written information to ensure broad understanding of the risks.  </w:t>
      </w:r>
      <w:bookmarkStart w:id="687" w:name="_Toc113977341"/>
      <w:bookmarkStart w:id="688" w:name="_Toc114039440"/>
      <w:bookmarkEnd w:id="681"/>
      <w:bookmarkEnd w:id="682"/>
      <w:bookmarkEnd w:id="683"/>
      <w:bookmarkEnd w:id="684"/>
      <w:bookmarkEnd w:id="685"/>
      <w:bookmarkEnd w:id="687"/>
      <w:bookmarkEnd w:id="688"/>
    </w:p>
    <w:p w14:paraId="5E6406C9" w14:textId="77777777" w:rsidR="00A32979" w:rsidRPr="00EE035B" w:rsidRDefault="00A32979" w:rsidP="00EE035B">
      <w:pPr>
        <w:spacing w:before="120"/>
      </w:pPr>
    </w:p>
    <w:p w14:paraId="12214B90" w14:textId="2BFBFFBA" w:rsidR="00F97EAE" w:rsidRPr="005D4886" w:rsidRDefault="00F97EAE" w:rsidP="00F05000">
      <w:pPr>
        <w:pStyle w:val="Heading2"/>
        <w:spacing w:before="120"/>
      </w:pPr>
      <w:bookmarkStart w:id="689" w:name="_Toc113977342"/>
      <w:bookmarkStart w:id="690" w:name="_Toc114039441"/>
      <w:bookmarkStart w:id="691" w:name="_Toc114143111"/>
      <w:bookmarkStart w:id="692" w:name="_Toc114232810"/>
      <w:bookmarkStart w:id="693" w:name="_Toc114233288"/>
      <w:bookmarkStart w:id="694" w:name="_Toc114233765"/>
      <w:bookmarkStart w:id="695" w:name="_Toc115341435"/>
      <w:bookmarkStart w:id="696" w:name="_Toc115341944"/>
      <w:bookmarkStart w:id="697" w:name="_Toc115342453"/>
      <w:bookmarkStart w:id="698" w:name="_Toc116285782"/>
      <w:bookmarkStart w:id="699" w:name="_Toc116290836"/>
      <w:bookmarkStart w:id="700" w:name="_Toc126074143"/>
      <w:bookmarkStart w:id="701" w:name="_Toc99466271"/>
      <w:bookmarkEnd w:id="689"/>
      <w:bookmarkEnd w:id="690"/>
      <w:bookmarkEnd w:id="691"/>
      <w:bookmarkEnd w:id="692"/>
      <w:bookmarkEnd w:id="693"/>
      <w:bookmarkEnd w:id="694"/>
      <w:bookmarkEnd w:id="695"/>
      <w:bookmarkEnd w:id="696"/>
      <w:bookmarkEnd w:id="697"/>
      <w:bookmarkEnd w:id="698"/>
      <w:bookmarkEnd w:id="699"/>
      <w:r w:rsidRPr="005D4886">
        <w:t xml:space="preserve">Option </w:t>
      </w:r>
      <w:r w:rsidR="003A6623">
        <w:t>3</w:t>
      </w:r>
      <w:r w:rsidRPr="005D4886">
        <w:t xml:space="preserve">: Mandatory safety </w:t>
      </w:r>
      <w:r w:rsidRPr="000E3E56">
        <w:t>standard</w:t>
      </w:r>
      <w:r w:rsidR="00971617" w:rsidRPr="005D4886">
        <w:t xml:space="preserve"> – warnings, anchors and stability</w:t>
      </w:r>
      <w:bookmarkEnd w:id="700"/>
      <w:r w:rsidRPr="005D4886">
        <w:t xml:space="preserve"> </w:t>
      </w:r>
      <w:bookmarkEnd w:id="701"/>
    </w:p>
    <w:tbl>
      <w:tblPr>
        <w:tblStyle w:val="TableGrid"/>
        <w:tblW w:w="9639" w:type="dxa"/>
        <w:tblBorders>
          <w:left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5D6D2" w:themeFill="background2"/>
        <w:tblLook w:val="04A0" w:firstRow="1" w:lastRow="0" w:firstColumn="1" w:lastColumn="0" w:noHBand="0" w:noVBand="1"/>
      </w:tblPr>
      <w:tblGrid>
        <w:gridCol w:w="9639"/>
      </w:tblGrid>
      <w:tr w:rsidR="006E292D" w:rsidRPr="00AF6193" w14:paraId="6F799DC7" w14:textId="77777777" w:rsidTr="00731B25">
        <w:trPr>
          <w:cnfStyle w:val="100000000000" w:firstRow="1" w:lastRow="0" w:firstColumn="0" w:lastColumn="0" w:oddVBand="0" w:evenVBand="0" w:oddHBand="0" w:evenHBand="0" w:firstRowFirstColumn="0" w:firstRowLastColumn="0" w:lastRowFirstColumn="0" w:lastRowLastColumn="0"/>
          <w:trHeight w:val="2701"/>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5D6D2" w:themeFill="background2"/>
          </w:tcPr>
          <w:p w14:paraId="6B8D1077" w14:textId="670D6500" w:rsidR="00C1595E" w:rsidRPr="009220B5" w:rsidRDefault="00C1595E">
            <w:pPr>
              <w:rPr>
                <w:b w:val="0"/>
                <w:sz w:val="22"/>
              </w:rPr>
            </w:pPr>
            <w:bookmarkStart w:id="702" w:name="_Hlk95384895"/>
            <w:r w:rsidRPr="009220B5">
              <w:rPr>
                <w:sz w:val="22"/>
              </w:rPr>
              <w:t xml:space="preserve">Section 104 of the ACL allows the </w:t>
            </w:r>
            <w:r w:rsidR="00731B25" w:rsidRPr="009220B5">
              <w:rPr>
                <w:sz w:val="22"/>
              </w:rPr>
              <w:t>commonwealth minister</w:t>
            </w:r>
            <w:r w:rsidRPr="009220B5">
              <w:rPr>
                <w:sz w:val="22"/>
              </w:rPr>
              <w:t xml:space="preserve"> to make a mandatory safety standard which sets out requirements that consumer goods must meet before they are supplied. They are introduced when considered reasonably necessary to prevent or reduce the risk of injury to a person.</w:t>
            </w:r>
          </w:p>
          <w:p w14:paraId="578E7607" w14:textId="13367175" w:rsidR="006E292D" w:rsidRPr="00833940" w:rsidRDefault="00480015">
            <w:pPr>
              <w:rPr>
                <w:b w:val="0"/>
                <w:bCs/>
                <w:sz w:val="22"/>
              </w:rPr>
            </w:pPr>
            <w:r w:rsidRPr="00020446">
              <w:rPr>
                <w:b w:val="0"/>
                <w:bCs/>
                <w:sz w:val="22"/>
              </w:rPr>
              <w:t>A</w:t>
            </w:r>
            <w:r w:rsidR="006E292D" w:rsidRPr="00185982">
              <w:rPr>
                <w:b w:val="0"/>
                <w:bCs/>
                <w:sz w:val="22"/>
              </w:rPr>
              <w:t xml:space="preserve"> mandatory safety standard </w:t>
            </w:r>
            <w:r w:rsidR="00433B24" w:rsidRPr="00185982">
              <w:rPr>
                <w:b w:val="0"/>
                <w:bCs/>
                <w:sz w:val="22"/>
              </w:rPr>
              <w:t>would</w:t>
            </w:r>
            <w:r w:rsidR="00871325" w:rsidRPr="00833940">
              <w:rPr>
                <w:b w:val="0"/>
                <w:bCs/>
                <w:sz w:val="22"/>
              </w:rPr>
              <w:t xml:space="preserve"> require</w:t>
            </w:r>
            <w:r w:rsidR="006E292D" w:rsidRPr="00833940">
              <w:rPr>
                <w:b w:val="0"/>
                <w:bCs/>
                <w:sz w:val="22"/>
              </w:rPr>
              <w:t xml:space="preserve"> furniture items to: </w:t>
            </w:r>
          </w:p>
          <w:p w14:paraId="77587D58" w14:textId="13784B6D" w:rsidR="006E292D" w:rsidRPr="00185982" w:rsidRDefault="006E292D">
            <w:pPr>
              <w:pStyle w:val="ListParagraph"/>
              <w:numPr>
                <w:ilvl w:val="0"/>
                <w:numId w:val="25"/>
              </w:numPr>
              <w:rPr>
                <w:b w:val="0"/>
                <w:bCs/>
                <w:sz w:val="22"/>
              </w:rPr>
            </w:pPr>
            <w:r w:rsidRPr="001326AB">
              <w:rPr>
                <w:b w:val="0"/>
                <w:bCs/>
                <w:sz w:val="22"/>
              </w:rPr>
              <w:t xml:space="preserve">have </w:t>
            </w:r>
            <w:r w:rsidR="00871325" w:rsidRPr="001326AB">
              <w:rPr>
                <w:b w:val="0"/>
                <w:bCs/>
                <w:sz w:val="22"/>
              </w:rPr>
              <w:t xml:space="preserve">a suitable </w:t>
            </w:r>
            <w:r w:rsidR="00871325" w:rsidRPr="009220B5">
              <w:rPr>
                <w:sz w:val="22"/>
              </w:rPr>
              <w:t>anchoring device</w:t>
            </w:r>
            <w:r w:rsidR="00871325" w:rsidRPr="00020446">
              <w:rPr>
                <w:b w:val="0"/>
                <w:bCs/>
                <w:sz w:val="22"/>
              </w:rPr>
              <w:t xml:space="preserve"> </w:t>
            </w:r>
            <w:r w:rsidRPr="00185982">
              <w:rPr>
                <w:b w:val="0"/>
                <w:bCs/>
                <w:sz w:val="22"/>
              </w:rPr>
              <w:t xml:space="preserve">integrated into the design or supplied with </w:t>
            </w:r>
            <w:r w:rsidR="00871325" w:rsidRPr="00185982">
              <w:rPr>
                <w:b w:val="0"/>
                <w:bCs/>
                <w:sz w:val="22"/>
              </w:rPr>
              <w:t>the product</w:t>
            </w:r>
          </w:p>
          <w:p w14:paraId="4360B12B" w14:textId="7A7D7E78" w:rsidR="006E292D" w:rsidRPr="002C1FE5" w:rsidRDefault="006E292D" w:rsidP="00F05000">
            <w:pPr>
              <w:pStyle w:val="ListParagraph"/>
              <w:numPr>
                <w:ilvl w:val="0"/>
                <w:numId w:val="25"/>
              </w:numPr>
              <w:rPr>
                <w:bCs/>
              </w:rPr>
            </w:pPr>
            <w:r w:rsidRPr="001326AB">
              <w:rPr>
                <w:b w:val="0"/>
                <w:bCs/>
                <w:sz w:val="22"/>
              </w:rPr>
              <w:t xml:space="preserve">meet </w:t>
            </w:r>
            <w:r w:rsidRPr="001326AB">
              <w:rPr>
                <w:sz w:val="22"/>
              </w:rPr>
              <w:t>minimum stability requirements</w:t>
            </w:r>
          </w:p>
        </w:tc>
      </w:tr>
    </w:tbl>
    <w:p w14:paraId="11EF9A8E" w14:textId="3E5CC1AF" w:rsidR="00267E8A" w:rsidRPr="005D4886" w:rsidRDefault="00267E8A" w:rsidP="00F05000">
      <w:pPr>
        <w:pStyle w:val="Heading3"/>
        <w:spacing w:before="120"/>
        <w:rPr>
          <w:szCs w:val="20"/>
        </w:rPr>
      </w:pPr>
      <w:bookmarkStart w:id="703" w:name="_Toc116285784"/>
      <w:bookmarkStart w:id="704" w:name="_Toc116290838"/>
      <w:bookmarkStart w:id="705" w:name="_Toc116285785"/>
      <w:bookmarkStart w:id="706" w:name="_Toc116290839"/>
      <w:bookmarkStart w:id="707" w:name="_Toc99466143"/>
      <w:bookmarkStart w:id="708" w:name="_Toc99466273"/>
      <w:bookmarkStart w:id="709" w:name="_Toc99466518"/>
      <w:bookmarkStart w:id="710" w:name="_Toc100214747"/>
      <w:bookmarkStart w:id="711" w:name="_Toc103020749"/>
      <w:bookmarkStart w:id="712" w:name="_Toc126074144"/>
      <w:bookmarkStart w:id="713" w:name="_Hlk96341248"/>
      <w:bookmarkStart w:id="714" w:name="_Hlk96335998"/>
      <w:bookmarkStart w:id="715" w:name="_Hlk96418850"/>
      <w:bookmarkEnd w:id="610"/>
      <w:bookmarkEnd w:id="611"/>
      <w:bookmarkEnd w:id="612"/>
      <w:bookmarkEnd w:id="613"/>
      <w:bookmarkEnd w:id="702"/>
      <w:bookmarkEnd w:id="703"/>
      <w:bookmarkEnd w:id="704"/>
      <w:bookmarkEnd w:id="705"/>
      <w:bookmarkEnd w:id="706"/>
      <w:r w:rsidRPr="005D4886">
        <w:rPr>
          <w:szCs w:val="20"/>
        </w:rPr>
        <w:t>Anchoring device</w:t>
      </w:r>
      <w:bookmarkEnd w:id="707"/>
      <w:bookmarkEnd w:id="708"/>
      <w:bookmarkEnd w:id="709"/>
      <w:bookmarkEnd w:id="710"/>
      <w:bookmarkEnd w:id="711"/>
      <w:bookmarkEnd w:id="712"/>
    </w:p>
    <w:p w14:paraId="750DB59C" w14:textId="08F25869" w:rsidR="005674E4" w:rsidRPr="00AF6193" w:rsidRDefault="005674E4" w:rsidP="00F05000">
      <w:pPr>
        <w:spacing w:before="120"/>
      </w:pPr>
      <w:r w:rsidRPr="00AF6193">
        <w:t xml:space="preserve">This option requires storage furniture to have a suitably designed and tested anchor device integrated into the design or supplied with the furniture. </w:t>
      </w:r>
    </w:p>
    <w:p w14:paraId="2C918D36" w14:textId="725817F5" w:rsidR="005674E4" w:rsidRPr="00AF6193" w:rsidRDefault="001C4236" w:rsidP="00F05000">
      <w:pPr>
        <w:spacing w:before="120"/>
      </w:pPr>
      <w:r>
        <w:t>There are 3</w:t>
      </w:r>
      <w:r w:rsidR="005674E4" w:rsidRPr="00AF6193">
        <w:t xml:space="preserve"> voluntary standards provi</w:t>
      </w:r>
      <w:r>
        <w:t>ding</w:t>
      </w:r>
      <w:r w:rsidR="005674E4" w:rsidRPr="00AF6193">
        <w:t xml:space="preserve"> performance requirements for anchoring devices (see Table </w:t>
      </w:r>
      <w:r w:rsidR="000A0A63">
        <w:t>5</w:t>
      </w:r>
      <w:r w:rsidR="005674E4" w:rsidRPr="00AF6193">
        <w:t xml:space="preserve"> below). Only the ISO 7170:2021 and EN16122:2012 standards include tests to assess the strength of anchors when mounted to a wall and attached to the unit.</w:t>
      </w:r>
      <w:r w:rsidR="00871325">
        <w:t xml:space="preserve"> </w:t>
      </w:r>
      <w:r w:rsidR="005674E4" w:rsidRPr="00AF6193">
        <w:t>The purpose of these tests is to assess the strength of the anchor to ensure it does not become detached from the structure or furniture it is attached to</w:t>
      </w:r>
      <w:r w:rsidR="00871325">
        <w:t>,</w:t>
      </w:r>
      <w:r w:rsidR="005674E4" w:rsidRPr="00AF6193">
        <w:t xml:space="preserve"> and the furniture does not topple when it is anchored.  </w:t>
      </w:r>
    </w:p>
    <w:p w14:paraId="66E3195F" w14:textId="09959C34" w:rsidR="005674E4" w:rsidRPr="00AF6193" w:rsidRDefault="00896B3B" w:rsidP="00F05000">
      <w:pPr>
        <w:spacing w:before="120"/>
      </w:pPr>
      <w:r>
        <w:t>T</w:t>
      </w:r>
      <w:r w:rsidR="005674E4" w:rsidRPr="00AF6193">
        <w:t xml:space="preserve">he ACCC’s </w:t>
      </w:r>
      <w:r>
        <w:t>view</w:t>
      </w:r>
      <w:r w:rsidR="005674E4" w:rsidRPr="00AF6193">
        <w:t xml:space="preserve"> is that </w:t>
      </w:r>
      <w:r w:rsidR="00871325">
        <w:t>anchors</w:t>
      </w:r>
      <w:r w:rsidR="005674E4" w:rsidRPr="00AF6193">
        <w:t xml:space="preserve"> should be fit for purpose and unable to be easily removed or become detached while under tension. Tests set out in ISO 7170:2021 and EN16122:2012 standards would satisfy this requirement. </w:t>
      </w:r>
    </w:p>
    <w:p w14:paraId="315139AA" w14:textId="4B9623C6" w:rsidR="005674E4" w:rsidRPr="00EE035B" w:rsidRDefault="005674E4" w:rsidP="00F05000">
      <w:pPr>
        <w:spacing w:before="120"/>
        <w:rPr>
          <w:b/>
          <w:bCs/>
        </w:rPr>
      </w:pPr>
      <w:r w:rsidRPr="00EE035B">
        <w:rPr>
          <w:b/>
          <w:bCs/>
        </w:rPr>
        <w:t xml:space="preserve">Table </w:t>
      </w:r>
      <w:r w:rsidR="008B7301" w:rsidRPr="00EE035B">
        <w:rPr>
          <w:b/>
          <w:bCs/>
        </w:rPr>
        <w:t>5</w:t>
      </w:r>
      <w:r w:rsidRPr="00EE035B">
        <w:rPr>
          <w:b/>
          <w:bCs/>
        </w:rPr>
        <w:t xml:space="preserve"> – </w:t>
      </w:r>
      <w:r w:rsidR="00871325" w:rsidRPr="00EE035B">
        <w:rPr>
          <w:b/>
          <w:bCs/>
        </w:rPr>
        <w:t>V</w:t>
      </w:r>
      <w:r w:rsidRPr="00EE035B">
        <w:rPr>
          <w:b/>
          <w:bCs/>
        </w:rPr>
        <w:t>oluntary standard requirements for anchoring</w:t>
      </w:r>
    </w:p>
    <w:tbl>
      <w:tblPr>
        <w:tblStyle w:val="TableGrid"/>
        <w:tblW w:w="9214" w:type="dxa"/>
        <w:tblLook w:val="04A0" w:firstRow="1" w:lastRow="0" w:firstColumn="1" w:lastColumn="0" w:noHBand="0" w:noVBand="1"/>
      </w:tblPr>
      <w:tblGrid>
        <w:gridCol w:w="2029"/>
        <w:gridCol w:w="7185"/>
      </w:tblGrid>
      <w:tr w:rsidR="005674E4" w:rsidRPr="00AF6193" w14:paraId="1FBF3B17" w14:textId="77777777" w:rsidTr="000F14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41DF4AB" w14:textId="77777777" w:rsidR="005674E4" w:rsidRPr="00AF6193" w:rsidRDefault="005674E4">
            <w:pPr>
              <w:rPr>
                <w:b w:val="0"/>
                <w:bCs/>
                <w:szCs w:val="20"/>
              </w:rPr>
            </w:pPr>
            <w:r w:rsidRPr="00AF6193">
              <w:rPr>
                <w:bCs/>
                <w:szCs w:val="20"/>
              </w:rPr>
              <w:t>Standard</w:t>
            </w:r>
          </w:p>
        </w:tc>
        <w:tc>
          <w:tcPr>
            <w:tcW w:w="5533" w:type="dxa"/>
          </w:tcPr>
          <w:p w14:paraId="5C4009A7" w14:textId="77777777" w:rsidR="005674E4" w:rsidRPr="00AF6193" w:rsidRDefault="005674E4">
            <w:pPr>
              <w:cnfStyle w:val="100000000000" w:firstRow="1" w:lastRow="0" w:firstColumn="0" w:lastColumn="0" w:oddVBand="0" w:evenVBand="0" w:oddHBand="0" w:evenHBand="0" w:firstRowFirstColumn="0" w:firstRowLastColumn="0" w:lastRowFirstColumn="0" w:lastRowLastColumn="0"/>
              <w:rPr>
                <w:b w:val="0"/>
                <w:bCs/>
                <w:szCs w:val="20"/>
              </w:rPr>
            </w:pPr>
            <w:r w:rsidRPr="00AF6193">
              <w:rPr>
                <w:bCs/>
                <w:szCs w:val="20"/>
              </w:rPr>
              <w:t>Requirements</w:t>
            </w:r>
          </w:p>
        </w:tc>
      </w:tr>
      <w:tr w:rsidR="005674E4" w:rsidRPr="00AF6193" w14:paraId="0236C18A" w14:textId="77777777" w:rsidTr="000F148F">
        <w:tc>
          <w:tcPr>
            <w:cnfStyle w:val="001000000000" w:firstRow="0" w:lastRow="0" w:firstColumn="1" w:lastColumn="0" w:oddVBand="0" w:evenVBand="0" w:oddHBand="0" w:evenHBand="0" w:firstRowFirstColumn="0" w:firstRowLastColumn="0" w:lastRowFirstColumn="0" w:lastRowLastColumn="0"/>
            <w:tcW w:w="0" w:type="dxa"/>
          </w:tcPr>
          <w:p w14:paraId="064A98A8" w14:textId="77777777" w:rsidR="005674E4" w:rsidRPr="00AF6193" w:rsidRDefault="005674E4" w:rsidP="00F05000">
            <w:pPr>
              <w:spacing w:before="120" w:after="120"/>
              <w:rPr>
                <w:b w:val="0"/>
                <w:bCs/>
                <w:szCs w:val="20"/>
              </w:rPr>
            </w:pPr>
            <w:r w:rsidRPr="00AF6193">
              <w:rPr>
                <w:bCs/>
                <w:szCs w:val="20"/>
              </w:rPr>
              <w:t xml:space="preserve">ASTM F2057-19 </w:t>
            </w:r>
          </w:p>
        </w:tc>
        <w:tc>
          <w:tcPr>
            <w:tcW w:w="5533" w:type="dxa"/>
          </w:tcPr>
          <w:p w14:paraId="76CF1A74" w14:textId="77777777" w:rsidR="005674E4" w:rsidRPr="00AF6193" w:rsidRDefault="005674E4" w:rsidP="00F05000">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AF6193">
              <w:rPr>
                <w:szCs w:val="20"/>
              </w:rPr>
              <w:t xml:space="preserve">Tip over restraints should be included with each item of furniture. It should meet the requirements F3096-14, the Standard Performance Specification for Tip over Restraints Used with Clothing Storage Units. </w:t>
            </w:r>
          </w:p>
        </w:tc>
      </w:tr>
      <w:tr w:rsidR="005674E4" w:rsidRPr="00AF6193" w14:paraId="1FD9956C" w14:textId="77777777" w:rsidTr="000F148F">
        <w:tc>
          <w:tcPr>
            <w:cnfStyle w:val="001000000000" w:firstRow="0" w:lastRow="0" w:firstColumn="1" w:lastColumn="0" w:oddVBand="0" w:evenVBand="0" w:oddHBand="0" w:evenHBand="0" w:firstRowFirstColumn="0" w:firstRowLastColumn="0" w:lastRowFirstColumn="0" w:lastRowLastColumn="0"/>
            <w:tcW w:w="0" w:type="dxa"/>
          </w:tcPr>
          <w:p w14:paraId="09AB861B" w14:textId="77777777" w:rsidR="005674E4" w:rsidRPr="00AF6193" w:rsidRDefault="005674E4" w:rsidP="00F05000">
            <w:pPr>
              <w:spacing w:before="120" w:after="120"/>
              <w:rPr>
                <w:b w:val="0"/>
                <w:bCs/>
                <w:szCs w:val="20"/>
              </w:rPr>
            </w:pPr>
            <w:r w:rsidRPr="00AF6193">
              <w:rPr>
                <w:bCs/>
                <w:szCs w:val="20"/>
              </w:rPr>
              <w:t xml:space="preserve">EN16122:2012 </w:t>
            </w:r>
          </w:p>
        </w:tc>
        <w:tc>
          <w:tcPr>
            <w:tcW w:w="5533" w:type="dxa"/>
          </w:tcPr>
          <w:p w14:paraId="14446B6B" w14:textId="77777777" w:rsidR="005674E4" w:rsidRPr="00AF6193" w:rsidRDefault="005674E4" w:rsidP="00F05000">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AF6193">
              <w:rPr>
                <w:szCs w:val="20"/>
              </w:rPr>
              <w:t xml:space="preserve">Includes tests to assess strength of anchored devices when mounted to the building or structure and when attached to the unit. The unit should remain attached to pass the test. </w:t>
            </w:r>
          </w:p>
        </w:tc>
      </w:tr>
      <w:tr w:rsidR="005674E4" w:rsidRPr="00AF6193" w14:paraId="65F84FA4" w14:textId="77777777" w:rsidTr="000F148F">
        <w:tc>
          <w:tcPr>
            <w:cnfStyle w:val="001000000000" w:firstRow="0" w:lastRow="0" w:firstColumn="1" w:lastColumn="0" w:oddVBand="0" w:evenVBand="0" w:oddHBand="0" w:evenHBand="0" w:firstRowFirstColumn="0" w:firstRowLastColumn="0" w:lastRowFirstColumn="0" w:lastRowLastColumn="0"/>
            <w:tcW w:w="0" w:type="dxa"/>
          </w:tcPr>
          <w:p w14:paraId="7946053E" w14:textId="77777777" w:rsidR="005674E4" w:rsidRPr="00AF6193" w:rsidRDefault="005674E4" w:rsidP="00F05000">
            <w:pPr>
              <w:spacing w:before="120" w:after="120"/>
              <w:rPr>
                <w:b w:val="0"/>
                <w:bCs/>
                <w:szCs w:val="20"/>
              </w:rPr>
            </w:pPr>
            <w:r w:rsidRPr="00AF6193">
              <w:rPr>
                <w:bCs/>
                <w:szCs w:val="20"/>
              </w:rPr>
              <w:t xml:space="preserve">ISO 7170:2021 </w:t>
            </w:r>
          </w:p>
        </w:tc>
        <w:tc>
          <w:tcPr>
            <w:tcW w:w="5533" w:type="dxa"/>
          </w:tcPr>
          <w:p w14:paraId="0E441C24" w14:textId="77777777" w:rsidR="005674E4" w:rsidRPr="00AF6193" w:rsidRDefault="005674E4" w:rsidP="00F05000">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AF6193">
              <w:rPr>
                <w:szCs w:val="20"/>
              </w:rPr>
              <w:t>Similar tests to the EN16122:2012 with an additional specific test for anchor devices. Units are to be anchored then tested to determine if it overturns.</w:t>
            </w:r>
          </w:p>
        </w:tc>
      </w:tr>
    </w:tbl>
    <w:p w14:paraId="6B95B215" w14:textId="22E386C4" w:rsidR="00267E8A" w:rsidRPr="005D4886" w:rsidRDefault="00267E8A" w:rsidP="00F05000">
      <w:pPr>
        <w:pStyle w:val="Heading3"/>
        <w:spacing w:before="120"/>
        <w:rPr>
          <w:szCs w:val="20"/>
        </w:rPr>
      </w:pPr>
      <w:bookmarkStart w:id="716" w:name="_Toc113977346"/>
      <w:bookmarkStart w:id="717" w:name="_Toc114039445"/>
      <w:bookmarkStart w:id="718" w:name="_Toc114143115"/>
      <w:bookmarkStart w:id="719" w:name="_Toc114232814"/>
      <w:bookmarkStart w:id="720" w:name="_Toc114233292"/>
      <w:bookmarkStart w:id="721" w:name="_Toc114233769"/>
      <w:bookmarkStart w:id="722" w:name="_Toc115341439"/>
      <w:bookmarkStart w:id="723" w:name="_Toc115341948"/>
      <w:bookmarkStart w:id="724" w:name="_Toc115342457"/>
      <w:bookmarkStart w:id="725" w:name="_Toc116285787"/>
      <w:bookmarkStart w:id="726" w:name="_Toc116290841"/>
      <w:bookmarkStart w:id="727" w:name="_Toc99466144"/>
      <w:bookmarkStart w:id="728" w:name="_Toc99466274"/>
      <w:bookmarkStart w:id="729" w:name="_Toc99466519"/>
      <w:bookmarkStart w:id="730" w:name="_Toc100214748"/>
      <w:bookmarkStart w:id="731" w:name="_Toc103020750"/>
      <w:bookmarkStart w:id="732" w:name="_Toc126074145"/>
      <w:bookmarkEnd w:id="716"/>
      <w:bookmarkEnd w:id="717"/>
      <w:bookmarkEnd w:id="718"/>
      <w:bookmarkEnd w:id="719"/>
      <w:bookmarkEnd w:id="720"/>
      <w:bookmarkEnd w:id="721"/>
      <w:bookmarkEnd w:id="722"/>
      <w:bookmarkEnd w:id="723"/>
      <w:bookmarkEnd w:id="724"/>
      <w:bookmarkEnd w:id="725"/>
      <w:bookmarkEnd w:id="726"/>
      <w:r w:rsidRPr="005D4886">
        <w:rPr>
          <w:szCs w:val="20"/>
        </w:rPr>
        <w:t xml:space="preserve">Stability </w:t>
      </w:r>
      <w:r w:rsidR="001561AB" w:rsidRPr="005D4886">
        <w:rPr>
          <w:szCs w:val="20"/>
        </w:rPr>
        <w:t>requirement</w:t>
      </w:r>
      <w:bookmarkEnd w:id="727"/>
      <w:bookmarkEnd w:id="728"/>
      <w:bookmarkEnd w:id="729"/>
      <w:bookmarkEnd w:id="730"/>
      <w:bookmarkEnd w:id="731"/>
      <w:bookmarkEnd w:id="732"/>
    </w:p>
    <w:p w14:paraId="5EDBBB9F" w14:textId="6D69B693" w:rsidR="00F97EAE" w:rsidRPr="00AF6193" w:rsidRDefault="00F97EAE" w:rsidP="00F05000">
      <w:pPr>
        <w:spacing w:before="120"/>
      </w:pPr>
      <w:r w:rsidRPr="00AF6193">
        <w:t xml:space="preserve">Option </w:t>
      </w:r>
      <w:r w:rsidR="00E26B5D">
        <w:t>3</w:t>
      </w:r>
      <w:r w:rsidRPr="00AF6193">
        <w:t xml:space="preserve"> </w:t>
      </w:r>
      <w:r w:rsidR="00FA0257">
        <w:t>would</w:t>
      </w:r>
      <w:r w:rsidR="00FA0257" w:rsidRPr="00AF6193">
        <w:t xml:space="preserve"> </w:t>
      </w:r>
      <w:r w:rsidRPr="00AF6193">
        <w:t xml:space="preserve">require storage furniture to meet </w:t>
      </w:r>
      <w:r w:rsidR="00193C97" w:rsidRPr="00AF6193">
        <w:t xml:space="preserve">minimum stability </w:t>
      </w:r>
      <w:r w:rsidRPr="00AF6193">
        <w:t>requirements when tested in accordance with</w:t>
      </w:r>
      <w:r w:rsidR="00CD436C" w:rsidRPr="00AF6193">
        <w:t xml:space="preserve"> </w:t>
      </w:r>
      <w:r w:rsidR="00EF31DE">
        <w:t>a</w:t>
      </w:r>
      <w:r w:rsidR="00FA0257">
        <w:t xml:space="preserve"> </w:t>
      </w:r>
      <w:r w:rsidR="00CD436C" w:rsidRPr="00AF6193">
        <w:t>standard</w:t>
      </w:r>
      <w:r w:rsidR="00FA0257">
        <w:t xml:space="preserve"> listed in Table 6</w:t>
      </w:r>
      <w:r w:rsidR="00CD436C" w:rsidRPr="00AF6193">
        <w:t>.</w:t>
      </w:r>
      <w:r w:rsidRPr="00AF6193">
        <w:t xml:space="preserve"> </w:t>
      </w:r>
      <w:r w:rsidR="006113F2" w:rsidRPr="00AF6193">
        <w:t xml:space="preserve">If the product </w:t>
      </w:r>
      <w:r w:rsidR="00EF31DE">
        <w:t>did</w:t>
      </w:r>
      <w:r w:rsidR="00EF31DE" w:rsidRPr="00AF6193">
        <w:t xml:space="preserve"> </w:t>
      </w:r>
      <w:r w:rsidR="006113F2" w:rsidRPr="00AF6193">
        <w:t xml:space="preserve">not pass the test, it </w:t>
      </w:r>
      <w:r w:rsidR="00FA0257">
        <w:t>would</w:t>
      </w:r>
      <w:r w:rsidR="00FA0257" w:rsidRPr="00AF6193">
        <w:t xml:space="preserve"> </w:t>
      </w:r>
      <w:r w:rsidR="006113F2" w:rsidRPr="00AF6193">
        <w:t xml:space="preserve">not be able to be sold in Australia. </w:t>
      </w:r>
    </w:p>
    <w:p w14:paraId="49D413BF" w14:textId="64DB361E" w:rsidR="00A0667A" w:rsidRPr="00AF6193" w:rsidRDefault="00A0667A" w:rsidP="00F05000">
      <w:pPr>
        <w:spacing w:before="120"/>
      </w:pPr>
      <w:r w:rsidRPr="00AF6193">
        <w:t xml:space="preserve">Manufacturers can improve stability </w:t>
      </w:r>
      <w:r w:rsidR="00B24F9E" w:rsidRPr="00AF6193">
        <w:t>several</w:t>
      </w:r>
      <w:r w:rsidRPr="00AF6193">
        <w:t xml:space="preserve"> ways, including but not limited to:</w:t>
      </w:r>
    </w:p>
    <w:p w14:paraId="7366126E" w14:textId="4FDBBB72" w:rsidR="00A0667A" w:rsidRPr="00AF6193" w:rsidRDefault="00415EAF" w:rsidP="00806096">
      <w:pPr>
        <w:pStyle w:val="ListParagraph"/>
        <w:numPr>
          <w:ilvl w:val="0"/>
          <w:numId w:val="36"/>
        </w:numPr>
      </w:pPr>
      <w:r w:rsidRPr="00AF6193">
        <w:t>c</w:t>
      </w:r>
      <w:r w:rsidR="00A0667A" w:rsidRPr="00AF6193">
        <w:t>ounterweights</w:t>
      </w:r>
    </w:p>
    <w:p w14:paraId="555FDE53" w14:textId="77777777" w:rsidR="00A0667A" w:rsidRPr="00AF6193" w:rsidRDefault="00A0667A" w:rsidP="00806096">
      <w:pPr>
        <w:pStyle w:val="ListParagraph"/>
        <w:numPr>
          <w:ilvl w:val="0"/>
          <w:numId w:val="36"/>
        </w:numPr>
      </w:pPr>
      <w:r w:rsidRPr="00AF6193">
        <w:t>retractable stabilising feet</w:t>
      </w:r>
    </w:p>
    <w:p w14:paraId="4C6F0055" w14:textId="77777777" w:rsidR="00A0667A" w:rsidRPr="00AF6193" w:rsidRDefault="00A0667A" w:rsidP="00806096">
      <w:pPr>
        <w:pStyle w:val="ListParagraph"/>
        <w:numPr>
          <w:ilvl w:val="0"/>
          <w:numId w:val="36"/>
        </w:numPr>
      </w:pPr>
      <w:r w:rsidRPr="00AF6193">
        <w:t>anti-rebound mechanisms for drawers</w:t>
      </w:r>
    </w:p>
    <w:p w14:paraId="51F2F165" w14:textId="1DB0A1BD" w:rsidR="00A0667A" w:rsidRPr="00AF6193" w:rsidRDefault="00A0667A" w:rsidP="00806096">
      <w:pPr>
        <w:pStyle w:val="ListParagraph"/>
        <w:numPr>
          <w:ilvl w:val="0"/>
          <w:numId w:val="36"/>
        </w:numPr>
      </w:pPr>
      <w:r w:rsidRPr="00AF6193">
        <w:t>anti-tilt devices and mechanisms to prevent multiple drawers being opened at once</w:t>
      </w:r>
      <w:r w:rsidR="00415EAF" w:rsidRPr="00AF6193">
        <w:t>.</w:t>
      </w:r>
    </w:p>
    <w:p w14:paraId="3CDC87B3" w14:textId="3EA4E1FE" w:rsidR="00F70714" w:rsidRDefault="00593D5A" w:rsidP="00F05000">
      <w:pPr>
        <w:spacing w:before="120"/>
      </w:pPr>
      <w:bookmarkStart w:id="733" w:name="_Hlk96341086"/>
      <w:bookmarkEnd w:id="713"/>
      <w:r>
        <w:t>Many</w:t>
      </w:r>
      <w:r w:rsidR="00CD436C" w:rsidRPr="00AF6193">
        <w:t xml:space="preserve"> </w:t>
      </w:r>
      <w:r w:rsidR="007D526C" w:rsidRPr="00AF6193">
        <w:t xml:space="preserve">voluntary standards </w:t>
      </w:r>
      <w:r w:rsidR="00267E8A" w:rsidRPr="00AF6193">
        <w:t xml:space="preserve">have </w:t>
      </w:r>
      <w:r w:rsidR="007D526C" w:rsidRPr="00AF6193">
        <w:t>testing methods and performance benchmarks for stability when tested with open drawers or doors (chests of drawers</w:t>
      </w:r>
      <w:r w:rsidR="00517B86" w:rsidRPr="00AF6193">
        <w:t xml:space="preserve">, </w:t>
      </w:r>
      <w:r w:rsidR="007D526C" w:rsidRPr="00AF6193">
        <w:t>wardrobes) and bookcases loaded with weights to simulate the forces generated when a child interacts with the furniture</w:t>
      </w:r>
      <w:r w:rsidR="00FB5F56">
        <w:t xml:space="preserve"> when empty</w:t>
      </w:r>
      <w:r w:rsidR="007D526C" w:rsidRPr="00AF6193">
        <w:t xml:space="preserve">. </w:t>
      </w:r>
    </w:p>
    <w:p w14:paraId="5841AE07" w14:textId="48B8123C" w:rsidR="00663777" w:rsidRPr="005D4886" w:rsidRDefault="00663777" w:rsidP="00F05000">
      <w:pPr>
        <w:pStyle w:val="TableHeading"/>
        <w:spacing w:before="120" w:after="120"/>
      </w:pPr>
      <w:r w:rsidRPr="005D4886">
        <w:t xml:space="preserve">Table </w:t>
      </w:r>
      <w:r w:rsidR="008B7301">
        <w:t>6</w:t>
      </w:r>
      <w:r w:rsidRPr="005D4886">
        <w:t xml:space="preserve">: </w:t>
      </w:r>
      <w:r w:rsidR="00193C97" w:rsidRPr="005D4886">
        <w:t>V</w:t>
      </w:r>
      <w:r w:rsidRPr="005D4886">
        <w:t>oluntary standard requirements for stability testing</w:t>
      </w:r>
    </w:p>
    <w:tbl>
      <w:tblPr>
        <w:tblStyle w:val="TableGrid"/>
        <w:tblW w:w="9566" w:type="dxa"/>
        <w:tblLook w:val="04A0" w:firstRow="1" w:lastRow="0" w:firstColumn="1" w:lastColumn="0" w:noHBand="0" w:noVBand="1"/>
      </w:tblPr>
      <w:tblGrid>
        <w:gridCol w:w="1562"/>
        <w:gridCol w:w="4001"/>
        <w:gridCol w:w="4003"/>
      </w:tblGrid>
      <w:tr w:rsidR="007100D7" w:rsidRPr="00AF6193" w14:paraId="064EC390" w14:textId="69D439B4" w:rsidTr="00F05000">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302" w:type="dxa"/>
          </w:tcPr>
          <w:p w14:paraId="4A39FC5D" w14:textId="48A99021" w:rsidR="007100D7" w:rsidRPr="00AF6193" w:rsidRDefault="007100D7">
            <w:pPr>
              <w:rPr>
                <w:b w:val="0"/>
                <w:bCs/>
                <w:szCs w:val="20"/>
              </w:rPr>
            </w:pPr>
            <w:r w:rsidRPr="00AF6193">
              <w:rPr>
                <w:bCs/>
                <w:szCs w:val="20"/>
              </w:rPr>
              <w:t>Standard</w:t>
            </w:r>
          </w:p>
        </w:tc>
        <w:tc>
          <w:tcPr>
            <w:tcW w:w="4132" w:type="dxa"/>
          </w:tcPr>
          <w:p w14:paraId="2D934870" w14:textId="7F41F281" w:rsidR="007100D7" w:rsidRPr="00AF6193" w:rsidRDefault="007100D7">
            <w:pPr>
              <w:cnfStyle w:val="100000000000" w:firstRow="1" w:lastRow="0" w:firstColumn="0" w:lastColumn="0" w:oddVBand="0" w:evenVBand="0" w:oddHBand="0" w:evenHBand="0" w:firstRowFirstColumn="0" w:firstRowLastColumn="0" w:lastRowFirstColumn="0" w:lastRowLastColumn="0"/>
              <w:rPr>
                <w:rFonts w:eastAsia="Times New Roman" w:cs="Arial"/>
                <w:b w:val="0"/>
                <w:bCs/>
                <w:color w:val="000000"/>
                <w:szCs w:val="20"/>
                <w:lang w:eastAsia="en-AU"/>
              </w:rPr>
            </w:pPr>
            <w:r w:rsidRPr="00AF6193">
              <w:rPr>
                <w:rFonts w:eastAsia="Times New Roman" w:cs="Arial"/>
                <w:bCs/>
                <w:color w:val="000000"/>
                <w:szCs w:val="20"/>
                <w:lang w:eastAsia="en-AU"/>
              </w:rPr>
              <w:t>Requirement</w:t>
            </w:r>
          </w:p>
        </w:tc>
        <w:tc>
          <w:tcPr>
            <w:tcW w:w="4132" w:type="dxa"/>
          </w:tcPr>
          <w:p w14:paraId="0DB6AB86" w14:textId="484A4043" w:rsidR="007100D7" w:rsidRPr="00AF6193" w:rsidRDefault="005F0D48">
            <w:pPr>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en-AU"/>
              </w:rPr>
            </w:pPr>
            <w:r>
              <w:rPr>
                <w:rFonts w:eastAsia="Times New Roman" w:cs="Arial"/>
                <w:bCs/>
                <w:color w:val="000000"/>
                <w:szCs w:val="20"/>
                <w:lang w:eastAsia="en-AU"/>
              </w:rPr>
              <w:t>Testing weights</w:t>
            </w:r>
          </w:p>
        </w:tc>
      </w:tr>
      <w:tr w:rsidR="007100D7" w:rsidRPr="00AF6193" w14:paraId="3601022C" w14:textId="33DEF432" w:rsidTr="00F05000">
        <w:trPr>
          <w:trHeight w:val="479"/>
        </w:trPr>
        <w:tc>
          <w:tcPr>
            <w:cnfStyle w:val="001000000000" w:firstRow="0" w:lastRow="0" w:firstColumn="1" w:lastColumn="0" w:oddVBand="0" w:evenVBand="0" w:oddHBand="0" w:evenHBand="0" w:firstRowFirstColumn="0" w:firstRowLastColumn="0" w:lastRowFirstColumn="0" w:lastRowLastColumn="0"/>
            <w:tcW w:w="1302" w:type="dxa"/>
          </w:tcPr>
          <w:p w14:paraId="7CA816A4" w14:textId="2B598685" w:rsidR="007100D7" w:rsidRPr="00AF6193" w:rsidRDefault="007100D7" w:rsidP="00F05000">
            <w:pPr>
              <w:spacing w:before="120" w:after="120"/>
              <w:rPr>
                <w:b w:val="0"/>
                <w:bCs/>
                <w:szCs w:val="20"/>
              </w:rPr>
            </w:pPr>
            <w:r w:rsidRPr="00AF6193">
              <w:rPr>
                <w:bCs/>
                <w:szCs w:val="20"/>
              </w:rPr>
              <w:t xml:space="preserve">AS/NZS 4935:2009 </w:t>
            </w:r>
          </w:p>
        </w:tc>
        <w:tc>
          <w:tcPr>
            <w:tcW w:w="4132" w:type="dxa"/>
          </w:tcPr>
          <w:p w14:paraId="6E225418" w14:textId="13825DDF" w:rsidR="007100D7" w:rsidRPr="00AF6193" w:rsidRDefault="007100D7" w:rsidP="00F05000">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AF6193">
              <w:rPr>
                <w:rFonts w:eastAsia="Times New Roman" w:cs="Arial"/>
                <w:color w:val="000000"/>
                <w:szCs w:val="20"/>
                <w:lang w:eastAsia="en-AU"/>
              </w:rPr>
              <w:t>Unloaded and loaded tests, with tests specific for chests of drawers and wardrobes, and bookcases/ bookshelves.</w:t>
            </w:r>
          </w:p>
        </w:tc>
        <w:tc>
          <w:tcPr>
            <w:tcW w:w="4132" w:type="dxa"/>
          </w:tcPr>
          <w:p w14:paraId="0B4AE4B4" w14:textId="2356214D" w:rsidR="007100D7" w:rsidRPr="00AF6193" w:rsidRDefault="0006111E" w:rsidP="00F05000">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06111E">
              <w:rPr>
                <w:rFonts w:eastAsia="Times New Roman" w:cs="Arial"/>
                <w:color w:val="000000"/>
                <w:szCs w:val="20"/>
                <w:lang w:eastAsia="en-AU"/>
              </w:rPr>
              <w:t>≤5 years and 11 months, within 95th percentile stature and body mass</w:t>
            </w:r>
            <w:r w:rsidR="00073221">
              <w:rPr>
                <w:rFonts w:eastAsia="Times New Roman" w:cs="Arial"/>
                <w:color w:val="000000"/>
                <w:szCs w:val="20"/>
                <w:lang w:eastAsia="en-AU"/>
              </w:rPr>
              <w:t xml:space="preserve"> conducted while the unit is empty. </w:t>
            </w:r>
          </w:p>
        </w:tc>
      </w:tr>
      <w:tr w:rsidR="007100D7" w:rsidRPr="00AF6193" w14:paraId="25AC291F" w14:textId="53348C41" w:rsidTr="00F05000">
        <w:trPr>
          <w:trHeight w:val="296"/>
        </w:trPr>
        <w:tc>
          <w:tcPr>
            <w:cnfStyle w:val="001000000000" w:firstRow="0" w:lastRow="0" w:firstColumn="1" w:lastColumn="0" w:oddVBand="0" w:evenVBand="0" w:oddHBand="0" w:evenHBand="0" w:firstRowFirstColumn="0" w:firstRowLastColumn="0" w:lastRowFirstColumn="0" w:lastRowLastColumn="0"/>
            <w:tcW w:w="1302" w:type="dxa"/>
          </w:tcPr>
          <w:p w14:paraId="5FBD29B9" w14:textId="6F53C928" w:rsidR="007100D7" w:rsidRPr="00AF6193" w:rsidRDefault="007100D7" w:rsidP="00F05000">
            <w:pPr>
              <w:spacing w:before="120" w:after="120"/>
              <w:rPr>
                <w:b w:val="0"/>
                <w:bCs/>
                <w:szCs w:val="20"/>
              </w:rPr>
            </w:pPr>
            <w:r w:rsidRPr="00AF6193">
              <w:rPr>
                <w:bCs/>
                <w:szCs w:val="20"/>
              </w:rPr>
              <w:t xml:space="preserve">ASTM F2057-19 </w:t>
            </w:r>
          </w:p>
        </w:tc>
        <w:tc>
          <w:tcPr>
            <w:tcW w:w="4132" w:type="dxa"/>
          </w:tcPr>
          <w:p w14:paraId="6C70279A" w14:textId="0B57EFF5" w:rsidR="007100D7" w:rsidRPr="00AF6193" w:rsidRDefault="007100D7" w:rsidP="00F05000">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AF6193">
              <w:rPr>
                <w:rFonts w:eastAsia="Times New Roman" w:cs="Arial"/>
                <w:color w:val="000000"/>
                <w:szCs w:val="20"/>
                <w:lang w:eastAsia="en-AU"/>
              </w:rPr>
              <w:t>Unloaded and loaded for in-scope furniture.</w:t>
            </w:r>
          </w:p>
        </w:tc>
        <w:tc>
          <w:tcPr>
            <w:tcW w:w="4132" w:type="dxa"/>
          </w:tcPr>
          <w:p w14:paraId="21F582AA" w14:textId="3A485486" w:rsidR="007100D7" w:rsidRPr="00AF6193" w:rsidRDefault="0006111E" w:rsidP="00F05000">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Pr>
                <w:rFonts w:eastAsia="Times New Roman" w:cs="Arial"/>
                <w:color w:val="000000"/>
                <w:szCs w:val="20"/>
                <w:lang w:eastAsia="en-AU"/>
              </w:rPr>
              <w:t xml:space="preserve">Weight tested to children </w:t>
            </w:r>
            <w:r w:rsidRPr="005934A1">
              <w:rPr>
                <w:rFonts w:eastAsia="Times New Roman" w:cs="Arial"/>
                <w:color w:val="000000"/>
                <w:szCs w:val="20"/>
                <w:lang w:eastAsia="en-AU"/>
              </w:rPr>
              <w:t>≤5 years of age</w:t>
            </w:r>
            <w:r w:rsidR="00073221">
              <w:rPr>
                <w:rFonts w:eastAsia="Times New Roman" w:cs="Arial"/>
                <w:color w:val="000000"/>
                <w:szCs w:val="20"/>
                <w:lang w:eastAsia="en-AU"/>
              </w:rPr>
              <w:t xml:space="preserve"> conducted while the unit is empty. </w:t>
            </w:r>
          </w:p>
        </w:tc>
      </w:tr>
      <w:tr w:rsidR="007100D7" w:rsidRPr="00AF6193" w14:paraId="1DB12071" w14:textId="62A2808F" w:rsidTr="00F05000">
        <w:trPr>
          <w:trHeight w:val="479"/>
        </w:trPr>
        <w:tc>
          <w:tcPr>
            <w:cnfStyle w:val="001000000000" w:firstRow="0" w:lastRow="0" w:firstColumn="1" w:lastColumn="0" w:oddVBand="0" w:evenVBand="0" w:oddHBand="0" w:evenHBand="0" w:firstRowFirstColumn="0" w:firstRowLastColumn="0" w:lastRowFirstColumn="0" w:lastRowLastColumn="0"/>
            <w:tcW w:w="1302" w:type="dxa"/>
          </w:tcPr>
          <w:p w14:paraId="58B24C92" w14:textId="7C58FC03" w:rsidR="007100D7" w:rsidRPr="00AF6193" w:rsidRDefault="007100D7" w:rsidP="00F05000">
            <w:pPr>
              <w:spacing w:before="120" w:after="120"/>
              <w:rPr>
                <w:b w:val="0"/>
                <w:bCs/>
                <w:szCs w:val="20"/>
              </w:rPr>
            </w:pPr>
            <w:r w:rsidRPr="00AF6193">
              <w:rPr>
                <w:bCs/>
                <w:szCs w:val="20"/>
              </w:rPr>
              <w:t xml:space="preserve">EN16122:2012 </w:t>
            </w:r>
          </w:p>
        </w:tc>
        <w:tc>
          <w:tcPr>
            <w:tcW w:w="4132" w:type="dxa"/>
          </w:tcPr>
          <w:p w14:paraId="1CD4759F" w14:textId="77777777" w:rsidR="007100D7" w:rsidRPr="00AF6193" w:rsidRDefault="007100D7" w:rsidP="00F05000">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AF6193">
              <w:rPr>
                <w:rFonts w:eastAsia="Times New Roman" w:cs="Arial"/>
                <w:color w:val="000000"/>
                <w:szCs w:val="20"/>
                <w:lang w:eastAsia="en-AU"/>
              </w:rPr>
              <w:t>Loaded and unloaded tests, with doors and drawers opened and closed, with weights applied.</w:t>
            </w:r>
          </w:p>
        </w:tc>
        <w:tc>
          <w:tcPr>
            <w:tcW w:w="4132" w:type="dxa"/>
          </w:tcPr>
          <w:p w14:paraId="0F2ACEC3" w14:textId="696C9113" w:rsidR="007100D7" w:rsidRPr="00AF6193" w:rsidRDefault="005F0D48" w:rsidP="00F05000">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5F0D48">
              <w:rPr>
                <w:rFonts w:eastAsia="Times New Roman" w:cs="Arial"/>
                <w:color w:val="000000"/>
                <w:szCs w:val="20"/>
                <w:lang w:eastAsia="en-AU"/>
              </w:rPr>
              <w:t>Specified masses of 1.7kg and 2.5kg but standard does not mention age.</w:t>
            </w:r>
            <w:r w:rsidR="00593D5A">
              <w:rPr>
                <w:rFonts w:eastAsia="Times New Roman" w:cs="Arial"/>
                <w:color w:val="000000"/>
                <w:szCs w:val="20"/>
                <w:lang w:eastAsia="en-AU"/>
              </w:rPr>
              <w:t xml:space="preserve"> Note </w:t>
            </w:r>
            <w:r w:rsidR="005273FB">
              <w:rPr>
                <w:rFonts w:eastAsia="Times New Roman" w:cs="Arial"/>
                <w:color w:val="000000"/>
                <w:szCs w:val="20"/>
                <w:lang w:eastAsia="en-AU"/>
              </w:rPr>
              <w:t>these weights are</w:t>
            </w:r>
            <w:r w:rsidR="00593D5A">
              <w:rPr>
                <w:rFonts w:eastAsia="Times New Roman" w:cs="Arial"/>
                <w:color w:val="000000"/>
                <w:szCs w:val="20"/>
                <w:lang w:eastAsia="en-AU"/>
              </w:rPr>
              <w:t xml:space="preserve"> equivalent to</w:t>
            </w:r>
            <w:r w:rsidR="005273FB">
              <w:rPr>
                <w:rFonts w:eastAsia="Times New Roman" w:cs="Arial"/>
                <w:color w:val="000000"/>
                <w:szCs w:val="20"/>
                <w:lang w:eastAsia="en-AU"/>
              </w:rPr>
              <w:t xml:space="preserve"> or less than</w:t>
            </w:r>
            <w:r w:rsidR="00593D5A">
              <w:rPr>
                <w:rFonts w:eastAsia="Times New Roman" w:cs="Arial"/>
                <w:color w:val="000000"/>
                <w:szCs w:val="20"/>
                <w:lang w:eastAsia="en-AU"/>
              </w:rPr>
              <w:t xml:space="preserve"> a newborn </w:t>
            </w:r>
            <w:r w:rsidR="005273FB">
              <w:rPr>
                <w:rFonts w:eastAsia="Times New Roman" w:cs="Arial"/>
                <w:color w:val="000000"/>
                <w:szCs w:val="20"/>
                <w:lang w:eastAsia="en-AU"/>
              </w:rPr>
              <w:t>baby</w:t>
            </w:r>
            <w:r w:rsidR="00593D5A">
              <w:rPr>
                <w:rFonts w:eastAsia="Times New Roman" w:cs="Arial"/>
                <w:color w:val="000000"/>
                <w:szCs w:val="20"/>
                <w:lang w:eastAsia="en-AU"/>
              </w:rPr>
              <w:t xml:space="preserve">, not </w:t>
            </w:r>
            <w:r w:rsidR="005273FB">
              <w:rPr>
                <w:rFonts w:eastAsia="Times New Roman" w:cs="Arial"/>
                <w:color w:val="000000"/>
                <w:szCs w:val="20"/>
                <w:lang w:eastAsia="en-AU"/>
              </w:rPr>
              <w:t>the weight of</w:t>
            </w:r>
            <w:r w:rsidR="00593D5A">
              <w:rPr>
                <w:rFonts w:eastAsia="Times New Roman" w:cs="Arial"/>
                <w:color w:val="000000"/>
                <w:szCs w:val="20"/>
                <w:lang w:eastAsia="en-AU"/>
              </w:rPr>
              <w:t xml:space="preserve"> child</w:t>
            </w:r>
            <w:r w:rsidR="005273FB">
              <w:rPr>
                <w:rFonts w:eastAsia="Times New Roman" w:cs="Arial"/>
                <w:color w:val="000000"/>
                <w:szCs w:val="20"/>
                <w:lang w:eastAsia="en-AU"/>
              </w:rPr>
              <w:t>ren</w:t>
            </w:r>
            <w:r w:rsidR="00593D5A">
              <w:rPr>
                <w:rFonts w:eastAsia="Times New Roman" w:cs="Arial"/>
                <w:color w:val="000000"/>
                <w:szCs w:val="20"/>
                <w:lang w:eastAsia="en-AU"/>
              </w:rPr>
              <w:t xml:space="preserve"> expect</w:t>
            </w:r>
            <w:r w:rsidR="005273FB">
              <w:rPr>
                <w:rFonts w:eastAsia="Times New Roman" w:cs="Arial"/>
                <w:color w:val="000000"/>
                <w:szCs w:val="20"/>
                <w:lang w:eastAsia="en-AU"/>
              </w:rPr>
              <w:t>ed</w:t>
            </w:r>
            <w:r w:rsidR="00593D5A">
              <w:rPr>
                <w:rFonts w:eastAsia="Times New Roman" w:cs="Arial"/>
                <w:color w:val="000000"/>
                <w:szCs w:val="20"/>
                <w:lang w:eastAsia="en-AU"/>
              </w:rPr>
              <w:t xml:space="preserve"> to be climbing furniture</w:t>
            </w:r>
            <w:r w:rsidR="005273FB">
              <w:rPr>
                <w:rFonts w:eastAsia="Times New Roman" w:cs="Arial"/>
                <w:color w:val="000000"/>
                <w:szCs w:val="20"/>
                <w:lang w:eastAsia="en-AU"/>
              </w:rPr>
              <w:t>.</w:t>
            </w:r>
          </w:p>
        </w:tc>
      </w:tr>
      <w:tr w:rsidR="007100D7" w:rsidRPr="00AF6193" w14:paraId="533C4FAF" w14:textId="784AB606" w:rsidTr="00F05000">
        <w:trPr>
          <w:trHeight w:val="479"/>
        </w:trPr>
        <w:tc>
          <w:tcPr>
            <w:cnfStyle w:val="001000000000" w:firstRow="0" w:lastRow="0" w:firstColumn="1" w:lastColumn="0" w:oddVBand="0" w:evenVBand="0" w:oddHBand="0" w:evenHBand="0" w:firstRowFirstColumn="0" w:firstRowLastColumn="0" w:lastRowFirstColumn="0" w:lastRowLastColumn="0"/>
            <w:tcW w:w="1302" w:type="dxa"/>
          </w:tcPr>
          <w:p w14:paraId="2F365410" w14:textId="223E92E9" w:rsidR="007100D7" w:rsidRPr="00AF6193" w:rsidRDefault="007100D7" w:rsidP="00F05000">
            <w:pPr>
              <w:spacing w:before="120" w:after="120"/>
              <w:rPr>
                <w:b w:val="0"/>
                <w:bCs/>
                <w:szCs w:val="20"/>
              </w:rPr>
            </w:pPr>
            <w:r w:rsidRPr="00AF6193">
              <w:rPr>
                <w:bCs/>
                <w:szCs w:val="20"/>
              </w:rPr>
              <w:t xml:space="preserve">ISO 7170:2021 </w:t>
            </w:r>
          </w:p>
        </w:tc>
        <w:tc>
          <w:tcPr>
            <w:tcW w:w="4132" w:type="dxa"/>
          </w:tcPr>
          <w:p w14:paraId="08A23E4A" w14:textId="479D4978" w:rsidR="007100D7" w:rsidRPr="00AF6193" w:rsidRDefault="007100D7" w:rsidP="00F05000">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AF6193">
              <w:rPr>
                <w:rFonts w:eastAsia="Times New Roman" w:cs="Arial"/>
                <w:color w:val="000000"/>
                <w:szCs w:val="20"/>
                <w:lang w:eastAsia="en-AU"/>
              </w:rPr>
              <w:t>Loaded and unloaded tests, including separate tests for TV</w:t>
            </w:r>
            <w:r w:rsidRPr="00AF6193">
              <w:rPr>
                <w:rFonts w:eastAsia="Times New Roman" w:cs="Arial"/>
                <w:color w:val="000000"/>
                <w:szCs w:val="20"/>
                <w:lang w:eastAsia="en-AU"/>
              </w:rPr>
              <w:noBreakHyphen/>
              <w:t>furniture, furniture with castors, and furniture supplied with anchoring kits.</w:t>
            </w:r>
          </w:p>
        </w:tc>
        <w:tc>
          <w:tcPr>
            <w:tcW w:w="4132" w:type="dxa"/>
          </w:tcPr>
          <w:p w14:paraId="6536044E" w14:textId="0851E37F" w:rsidR="007100D7" w:rsidRPr="00AF6193" w:rsidRDefault="0006111E" w:rsidP="00F05000">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06111E">
              <w:rPr>
                <w:rFonts w:eastAsia="Times New Roman" w:cs="Arial"/>
                <w:color w:val="000000"/>
                <w:szCs w:val="20"/>
                <w:lang w:eastAsia="en-AU"/>
              </w:rPr>
              <w:t>Dependent on the</w:t>
            </w:r>
            <w:r w:rsidR="008503E3">
              <w:rPr>
                <w:rFonts w:eastAsia="Times New Roman" w:cs="Arial"/>
                <w:color w:val="000000"/>
                <w:szCs w:val="20"/>
                <w:lang w:eastAsia="en-AU"/>
              </w:rPr>
              <w:t xml:space="preserve"> </w:t>
            </w:r>
            <w:r w:rsidRPr="0006111E">
              <w:rPr>
                <w:rFonts w:eastAsia="Times New Roman" w:cs="Arial"/>
                <w:color w:val="000000"/>
                <w:szCs w:val="20"/>
                <w:lang w:eastAsia="en-AU"/>
              </w:rPr>
              <w:t>furniture item being tested</w:t>
            </w:r>
            <w:r w:rsidR="008503E3">
              <w:rPr>
                <w:rFonts w:eastAsia="Times New Roman" w:cs="Arial"/>
                <w:color w:val="000000"/>
                <w:szCs w:val="20"/>
                <w:lang w:eastAsia="en-AU"/>
              </w:rPr>
              <w:t xml:space="preserve"> (e.g. height and volume of the drawers)</w:t>
            </w:r>
            <w:r w:rsidRPr="0006111E">
              <w:rPr>
                <w:rFonts w:eastAsia="Times New Roman" w:cs="Arial"/>
                <w:color w:val="000000"/>
                <w:szCs w:val="20"/>
                <w:lang w:eastAsia="en-AU"/>
              </w:rPr>
              <w:t>. Standard does not mention what age the forces/weights correlate to.</w:t>
            </w:r>
            <w:r w:rsidR="00B00373">
              <w:rPr>
                <w:rFonts w:eastAsia="Times New Roman" w:cs="Arial"/>
                <w:color w:val="000000"/>
                <w:szCs w:val="20"/>
                <w:lang w:eastAsia="en-AU"/>
              </w:rPr>
              <w:t xml:space="preserve"> </w:t>
            </w:r>
            <w:r w:rsidR="009C3F56">
              <w:rPr>
                <w:rFonts w:eastAsia="Times New Roman" w:cs="Arial"/>
                <w:color w:val="000000"/>
                <w:szCs w:val="20"/>
                <w:lang w:eastAsia="en-AU"/>
              </w:rPr>
              <w:t xml:space="preserve">Does not </w:t>
            </w:r>
            <w:r w:rsidR="00C040D1">
              <w:rPr>
                <w:rFonts w:eastAsia="Times New Roman" w:cs="Arial"/>
                <w:color w:val="000000"/>
                <w:szCs w:val="20"/>
                <w:lang w:eastAsia="en-AU"/>
              </w:rPr>
              <w:t xml:space="preserve">measure whether </w:t>
            </w:r>
            <w:r w:rsidR="009C3F56">
              <w:rPr>
                <w:rFonts w:eastAsia="Times New Roman" w:cs="Arial"/>
                <w:color w:val="000000"/>
                <w:szCs w:val="20"/>
                <w:lang w:eastAsia="en-AU"/>
              </w:rPr>
              <w:t xml:space="preserve">a unit passes or fails. </w:t>
            </w:r>
          </w:p>
        </w:tc>
      </w:tr>
      <w:tr w:rsidR="007100D7" w:rsidRPr="00AF6193" w14:paraId="76BF5B7C" w14:textId="6450158D" w:rsidTr="00F05000">
        <w:trPr>
          <w:trHeight w:val="479"/>
        </w:trPr>
        <w:tc>
          <w:tcPr>
            <w:cnfStyle w:val="001000000000" w:firstRow="0" w:lastRow="0" w:firstColumn="1" w:lastColumn="0" w:oddVBand="0" w:evenVBand="0" w:oddHBand="0" w:evenHBand="0" w:firstRowFirstColumn="0" w:firstRowLastColumn="0" w:lastRowFirstColumn="0" w:lastRowLastColumn="0"/>
            <w:tcW w:w="1302" w:type="dxa"/>
          </w:tcPr>
          <w:p w14:paraId="4BC9CC42" w14:textId="4669ACD2" w:rsidR="007100D7" w:rsidRPr="00AF6193" w:rsidRDefault="007100D7" w:rsidP="00F05000">
            <w:pPr>
              <w:spacing w:before="120" w:after="120"/>
              <w:rPr>
                <w:b w:val="0"/>
                <w:bCs/>
                <w:szCs w:val="20"/>
              </w:rPr>
            </w:pPr>
            <w:r w:rsidRPr="00AF6193">
              <w:rPr>
                <w:bCs/>
                <w:szCs w:val="20"/>
              </w:rPr>
              <w:t xml:space="preserve">EN14749:2016 </w:t>
            </w:r>
          </w:p>
        </w:tc>
        <w:tc>
          <w:tcPr>
            <w:tcW w:w="4132" w:type="dxa"/>
          </w:tcPr>
          <w:p w14:paraId="0347DB93" w14:textId="781854A9" w:rsidR="007100D7" w:rsidRPr="00AF6193" w:rsidRDefault="007100D7" w:rsidP="00F05000">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AF6193">
              <w:rPr>
                <w:rFonts w:eastAsia="Times New Roman" w:cs="Arial"/>
                <w:color w:val="000000"/>
                <w:szCs w:val="20"/>
                <w:lang w:eastAsia="en-AU"/>
              </w:rPr>
              <w:t>Loaded and unloaded tests, including additional tests for storage furniture &gt;1000 mm height, and TV furniture.</w:t>
            </w:r>
          </w:p>
        </w:tc>
        <w:tc>
          <w:tcPr>
            <w:tcW w:w="4132" w:type="dxa"/>
          </w:tcPr>
          <w:p w14:paraId="6F57ADAB" w14:textId="5C51E228" w:rsidR="007100D7" w:rsidRPr="00AF6193" w:rsidRDefault="005F0D48" w:rsidP="00F05000">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Pr>
                <w:rFonts w:eastAsia="Times New Roman" w:cs="Arial"/>
                <w:color w:val="000000"/>
                <w:szCs w:val="20"/>
                <w:lang w:eastAsia="en-AU"/>
              </w:rPr>
              <w:t>Not specified.</w:t>
            </w:r>
          </w:p>
        </w:tc>
      </w:tr>
    </w:tbl>
    <w:p w14:paraId="019AF2F5" w14:textId="24B878A0" w:rsidR="0016163B" w:rsidRDefault="00D84473" w:rsidP="00F05000">
      <w:pPr>
        <w:spacing w:before="120"/>
        <w:rPr>
          <w:bCs/>
          <w:szCs w:val="20"/>
        </w:rPr>
      </w:pPr>
      <w:r>
        <w:t>The</w:t>
      </w:r>
      <w:r w:rsidR="00045BD2" w:rsidRPr="00AF6193">
        <w:t xml:space="preserve"> ISO 7170</w:t>
      </w:r>
      <w:r w:rsidR="00C361A8" w:rsidRPr="00AF6193">
        <w:t>:</w:t>
      </w:r>
      <w:r w:rsidR="00045BD2" w:rsidRPr="00AF6193">
        <w:t>2021</w:t>
      </w:r>
      <w:r w:rsidR="0045166A" w:rsidRPr="00AF6193">
        <w:t xml:space="preserve"> and EN14749:2016</w:t>
      </w:r>
      <w:r>
        <w:t xml:space="preserve"> onl</w:t>
      </w:r>
      <w:r w:rsidR="005E20C3">
        <w:t>y outline test protocols and do not establish minimum stability requirements.</w:t>
      </w:r>
      <w:r w:rsidR="00A8291D">
        <w:t xml:space="preserve"> </w:t>
      </w:r>
      <w:r w:rsidR="00073221">
        <w:t xml:space="preserve">The ACCC understands </w:t>
      </w:r>
      <w:r w:rsidR="00E0225B">
        <w:t>the Australian Standard (</w:t>
      </w:r>
      <w:r w:rsidR="00B46102" w:rsidRPr="00AF6193">
        <w:rPr>
          <w:bCs/>
          <w:szCs w:val="20"/>
        </w:rPr>
        <w:t>AS/NZS 4935:2009</w:t>
      </w:r>
      <w:r w:rsidR="00E0225B">
        <w:rPr>
          <w:bCs/>
          <w:szCs w:val="20"/>
        </w:rPr>
        <w:t>)</w:t>
      </w:r>
      <w:r w:rsidR="00B46102">
        <w:rPr>
          <w:bCs/>
          <w:szCs w:val="20"/>
        </w:rPr>
        <w:t xml:space="preserve"> and </w:t>
      </w:r>
      <w:r w:rsidR="00E0225B">
        <w:rPr>
          <w:bCs/>
          <w:szCs w:val="20"/>
        </w:rPr>
        <w:t>the American Standard (</w:t>
      </w:r>
      <w:r w:rsidR="00B46102" w:rsidRPr="00AF6193">
        <w:rPr>
          <w:bCs/>
          <w:szCs w:val="20"/>
        </w:rPr>
        <w:t>ASTM F2057-19</w:t>
      </w:r>
      <w:r w:rsidR="00E0225B">
        <w:rPr>
          <w:bCs/>
          <w:szCs w:val="20"/>
        </w:rPr>
        <w:t>)</w:t>
      </w:r>
      <w:r w:rsidR="00B46102">
        <w:rPr>
          <w:bCs/>
          <w:szCs w:val="20"/>
        </w:rPr>
        <w:t xml:space="preserve"> are currently being reviewed.</w:t>
      </w:r>
      <w:r w:rsidR="00B46102" w:rsidRPr="00AF6193">
        <w:rPr>
          <w:bCs/>
          <w:szCs w:val="20"/>
        </w:rPr>
        <w:t xml:space="preserve"> </w:t>
      </w:r>
      <w:r w:rsidR="005F0D48">
        <w:rPr>
          <w:bCs/>
          <w:szCs w:val="20"/>
        </w:rPr>
        <w:t xml:space="preserve">As such, none of the current voluntary standards has stability requirements that could be adopted in a </w:t>
      </w:r>
      <w:r w:rsidR="00AF6991">
        <w:rPr>
          <w:bCs/>
          <w:szCs w:val="20"/>
        </w:rPr>
        <w:t>mandatory standard</w:t>
      </w:r>
      <w:r w:rsidR="006C66DA">
        <w:rPr>
          <w:bCs/>
          <w:szCs w:val="20"/>
        </w:rPr>
        <w:t>.</w:t>
      </w:r>
    </w:p>
    <w:p w14:paraId="0C83BE9F" w14:textId="1C59F522" w:rsidR="00F97EAE" w:rsidRPr="005D4886" w:rsidRDefault="00F97EAE" w:rsidP="00F05000">
      <w:pPr>
        <w:pStyle w:val="Heading2"/>
        <w:spacing w:before="120"/>
      </w:pPr>
      <w:bookmarkStart w:id="734" w:name="_Toc113977370"/>
      <w:bookmarkStart w:id="735" w:name="_Toc114039469"/>
      <w:bookmarkStart w:id="736" w:name="_Toc114143132"/>
      <w:bookmarkStart w:id="737" w:name="_Toc114232831"/>
      <w:bookmarkStart w:id="738" w:name="_Toc114233309"/>
      <w:bookmarkStart w:id="739" w:name="_Toc114233786"/>
      <w:bookmarkStart w:id="740" w:name="_Toc115341456"/>
      <w:bookmarkStart w:id="741" w:name="_Toc115341965"/>
      <w:bookmarkStart w:id="742" w:name="_Toc115342474"/>
      <w:bookmarkStart w:id="743" w:name="_Toc116285804"/>
      <w:bookmarkStart w:id="744" w:name="_Toc116290858"/>
      <w:bookmarkStart w:id="745" w:name="_Toc113977393"/>
      <w:bookmarkStart w:id="746" w:name="_Toc114039492"/>
      <w:bookmarkStart w:id="747" w:name="_Toc114143155"/>
      <w:bookmarkStart w:id="748" w:name="_Toc114232854"/>
      <w:bookmarkStart w:id="749" w:name="_Toc114233332"/>
      <w:bookmarkStart w:id="750" w:name="_Toc114233809"/>
      <w:bookmarkStart w:id="751" w:name="_Toc115341479"/>
      <w:bookmarkStart w:id="752" w:name="_Toc115341988"/>
      <w:bookmarkStart w:id="753" w:name="_Toc115342497"/>
      <w:bookmarkStart w:id="754" w:name="_Toc116285827"/>
      <w:bookmarkStart w:id="755" w:name="_Toc116290881"/>
      <w:bookmarkStart w:id="756" w:name="_Toc113977394"/>
      <w:bookmarkStart w:id="757" w:name="_Toc114039493"/>
      <w:bookmarkStart w:id="758" w:name="_Toc114143156"/>
      <w:bookmarkStart w:id="759" w:name="_Toc114232855"/>
      <w:bookmarkStart w:id="760" w:name="_Toc114233333"/>
      <w:bookmarkStart w:id="761" w:name="_Toc114233810"/>
      <w:bookmarkStart w:id="762" w:name="_Toc115341480"/>
      <w:bookmarkStart w:id="763" w:name="_Toc115341989"/>
      <w:bookmarkStart w:id="764" w:name="_Toc115342498"/>
      <w:bookmarkStart w:id="765" w:name="_Toc116285828"/>
      <w:bookmarkStart w:id="766" w:name="_Toc116290882"/>
      <w:bookmarkStart w:id="767" w:name="_Toc93760101"/>
      <w:bookmarkStart w:id="768" w:name="_Toc93760349"/>
      <w:bookmarkStart w:id="769" w:name="_Toc93760404"/>
      <w:bookmarkStart w:id="770" w:name="_Toc93760460"/>
      <w:bookmarkStart w:id="771" w:name="_Toc126074146"/>
      <w:bookmarkStart w:id="772" w:name="_Toc99466278"/>
      <w:bookmarkStart w:id="773" w:name="_Hlk95998566"/>
      <w:bookmarkEnd w:id="437"/>
      <w:bookmarkEnd w:id="614"/>
      <w:bookmarkEnd w:id="714"/>
      <w:bookmarkEnd w:id="715"/>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sidRPr="007A377F">
        <w:t>Option</w:t>
      </w:r>
      <w:r w:rsidRPr="005D4886">
        <w:t xml:space="preserve"> </w:t>
      </w:r>
      <w:r w:rsidR="003A6623">
        <w:t>4</w:t>
      </w:r>
      <w:r w:rsidRPr="005D4886">
        <w:t xml:space="preserve">: </w:t>
      </w:r>
      <w:r w:rsidR="001A5425" w:rsidRPr="005D4886">
        <w:t>A</w:t>
      </w:r>
      <w:r w:rsidRPr="005D4886">
        <w:t xml:space="preserve"> mandatory safety</w:t>
      </w:r>
      <w:r w:rsidR="001A5425" w:rsidRPr="005D4886">
        <w:t xml:space="preserve"> standard and a mandatory</w:t>
      </w:r>
      <w:r w:rsidRPr="005D4886">
        <w:t xml:space="preserve"> information</w:t>
      </w:r>
      <w:r w:rsidR="0016163B">
        <w:t xml:space="preserve"> </w:t>
      </w:r>
      <w:r w:rsidRPr="005D4886">
        <w:t>standard</w:t>
      </w:r>
      <w:bookmarkEnd w:id="771"/>
      <w:r w:rsidR="00CC31F2" w:rsidRPr="005D4886">
        <w:t xml:space="preserve"> </w:t>
      </w:r>
      <w:bookmarkEnd w:id="772"/>
    </w:p>
    <w:tbl>
      <w:tblPr>
        <w:tblStyle w:val="TableGrid"/>
        <w:tblW w:w="9209" w:type="dxa"/>
        <w:tblBorders>
          <w:left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5D6D2" w:themeFill="background2"/>
        <w:tblLook w:val="04A0" w:firstRow="1" w:lastRow="0" w:firstColumn="1" w:lastColumn="0" w:noHBand="0" w:noVBand="1"/>
      </w:tblPr>
      <w:tblGrid>
        <w:gridCol w:w="9209"/>
      </w:tblGrid>
      <w:tr w:rsidR="006A36B5" w:rsidRPr="00AF6193" w14:paraId="61E2D147" w14:textId="77777777" w:rsidTr="003202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5D6D2" w:themeFill="background2"/>
          </w:tcPr>
          <w:p w14:paraId="7896F1E4" w14:textId="25704D58" w:rsidR="006A36B5" w:rsidRPr="00F05000" w:rsidRDefault="0016163B" w:rsidP="00F05000">
            <w:pPr>
              <w:rPr>
                <w:sz w:val="22"/>
              </w:rPr>
            </w:pPr>
            <w:r w:rsidRPr="00F05000">
              <w:rPr>
                <w:b w:val="0"/>
                <w:sz w:val="22"/>
              </w:rPr>
              <w:t xml:space="preserve">Combine options 2 and </w:t>
            </w:r>
            <w:r w:rsidR="004257AF" w:rsidRPr="00F05000">
              <w:rPr>
                <w:b w:val="0"/>
                <w:sz w:val="22"/>
              </w:rPr>
              <w:t>3</w:t>
            </w:r>
            <w:r w:rsidRPr="00F05000">
              <w:rPr>
                <w:b w:val="0"/>
                <w:sz w:val="22"/>
              </w:rPr>
              <w:t xml:space="preserve"> </w:t>
            </w:r>
          </w:p>
          <w:p w14:paraId="51CAA1DA" w14:textId="47F575DC" w:rsidR="006A36B5" w:rsidRPr="00AF6193" w:rsidRDefault="006A36B5">
            <w:pPr>
              <w:rPr>
                <w:bCs/>
                <w:i/>
                <w:iCs/>
                <w:sz w:val="22"/>
              </w:rPr>
            </w:pPr>
            <w:r w:rsidRPr="00AF6193">
              <w:rPr>
                <w:bCs/>
                <w:i/>
                <w:iCs/>
                <w:sz w:val="22"/>
              </w:rPr>
              <w:t xml:space="preserve">Safety standard </w:t>
            </w:r>
          </w:p>
          <w:p w14:paraId="65B002EE" w14:textId="050662BE" w:rsidR="006A36B5" w:rsidRPr="00AF6193" w:rsidRDefault="006A36B5">
            <w:pPr>
              <w:numPr>
                <w:ilvl w:val="0"/>
                <w:numId w:val="25"/>
              </w:numPr>
              <w:rPr>
                <w:b w:val="0"/>
                <w:bCs/>
                <w:sz w:val="22"/>
              </w:rPr>
            </w:pPr>
            <w:r w:rsidRPr="00AF6193">
              <w:rPr>
                <w:b w:val="0"/>
                <w:bCs/>
                <w:sz w:val="22"/>
              </w:rPr>
              <w:t xml:space="preserve">a permanent </w:t>
            </w:r>
            <w:r w:rsidRPr="00AF6193">
              <w:rPr>
                <w:sz w:val="22"/>
              </w:rPr>
              <w:t>warning label</w:t>
            </w:r>
            <w:r w:rsidRPr="00AF6193">
              <w:rPr>
                <w:b w:val="0"/>
                <w:bCs/>
                <w:sz w:val="22"/>
              </w:rPr>
              <w:t xml:space="preserve"> affixed to the furniture and </w:t>
            </w:r>
            <w:r w:rsidRPr="001654A7">
              <w:t>safety information</w:t>
            </w:r>
            <w:r w:rsidRPr="00AF6193">
              <w:rPr>
                <w:b w:val="0"/>
                <w:bCs/>
                <w:sz w:val="22"/>
              </w:rPr>
              <w:t xml:space="preserve"> highlighting the risks of furniture tip overs </w:t>
            </w:r>
            <w:r w:rsidR="005C4DAE">
              <w:rPr>
                <w:b w:val="0"/>
                <w:bCs/>
                <w:sz w:val="22"/>
              </w:rPr>
              <w:t xml:space="preserve">included </w:t>
            </w:r>
            <w:r w:rsidRPr="00AF6193">
              <w:rPr>
                <w:b w:val="0"/>
                <w:bCs/>
                <w:sz w:val="22"/>
              </w:rPr>
              <w:t>in assembly instructions</w:t>
            </w:r>
          </w:p>
          <w:p w14:paraId="0E025830" w14:textId="7137BD15" w:rsidR="005C4DAE" w:rsidRPr="00AF6193" w:rsidRDefault="005C4DAE" w:rsidP="005C4DAE">
            <w:pPr>
              <w:pStyle w:val="ListParagraph"/>
              <w:numPr>
                <w:ilvl w:val="0"/>
                <w:numId w:val="25"/>
              </w:numPr>
              <w:rPr>
                <w:b w:val="0"/>
                <w:bCs/>
                <w:sz w:val="22"/>
              </w:rPr>
            </w:pPr>
            <w:r>
              <w:rPr>
                <w:b w:val="0"/>
                <w:bCs/>
                <w:sz w:val="22"/>
              </w:rPr>
              <w:t xml:space="preserve">a suitable </w:t>
            </w:r>
            <w:r w:rsidRPr="00A076B1">
              <w:rPr>
                <w:sz w:val="22"/>
              </w:rPr>
              <w:t>anchoring device</w:t>
            </w:r>
            <w:r>
              <w:rPr>
                <w:b w:val="0"/>
                <w:bCs/>
                <w:sz w:val="22"/>
              </w:rPr>
              <w:t xml:space="preserve"> </w:t>
            </w:r>
            <w:r w:rsidRPr="00AF6193">
              <w:rPr>
                <w:b w:val="0"/>
                <w:bCs/>
                <w:sz w:val="22"/>
              </w:rPr>
              <w:t xml:space="preserve">integrated into the design or supplied with </w:t>
            </w:r>
            <w:r>
              <w:rPr>
                <w:b w:val="0"/>
                <w:bCs/>
                <w:sz w:val="22"/>
              </w:rPr>
              <w:t>the product</w:t>
            </w:r>
          </w:p>
          <w:p w14:paraId="15331036" w14:textId="53B09429" w:rsidR="006A36B5" w:rsidRPr="00AF6193" w:rsidRDefault="006A36B5">
            <w:pPr>
              <w:numPr>
                <w:ilvl w:val="0"/>
                <w:numId w:val="25"/>
              </w:numPr>
              <w:rPr>
                <w:b w:val="0"/>
                <w:bCs/>
                <w:sz w:val="22"/>
              </w:rPr>
            </w:pPr>
            <w:r w:rsidRPr="00AF6193">
              <w:rPr>
                <w:b w:val="0"/>
                <w:bCs/>
                <w:sz w:val="22"/>
              </w:rPr>
              <w:t xml:space="preserve">meet minimum </w:t>
            </w:r>
            <w:r w:rsidRPr="00AF6193">
              <w:rPr>
                <w:sz w:val="22"/>
              </w:rPr>
              <w:t>stability requirements</w:t>
            </w:r>
          </w:p>
          <w:p w14:paraId="52B59637" w14:textId="2EB75AB4" w:rsidR="006A36B5" w:rsidRPr="00AF6193" w:rsidRDefault="006A36B5">
            <w:pPr>
              <w:rPr>
                <w:bCs/>
                <w:i/>
                <w:iCs/>
                <w:sz w:val="22"/>
              </w:rPr>
            </w:pPr>
            <w:r w:rsidRPr="00AF6193">
              <w:rPr>
                <w:bCs/>
                <w:i/>
                <w:iCs/>
                <w:sz w:val="22"/>
              </w:rPr>
              <w:t xml:space="preserve">Information standard </w:t>
            </w:r>
          </w:p>
          <w:p w14:paraId="544E7B73" w14:textId="3DBA6157" w:rsidR="006A36B5" w:rsidRPr="00AF6193" w:rsidRDefault="006A36B5" w:rsidP="00806096">
            <w:pPr>
              <w:pStyle w:val="ListParagraph"/>
              <w:numPr>
                <w:ilvl w:val="0"/>
                <w:numId w:val="31"/>
              </w:numPr>
              <w:rPr>
                <w:b w:val="0"/>
                <w:bCs/>
                <w:sz w:val="22"/>
              </w:rPr>
            </w:pPr>
            <w:r w:rsidRPr="00AF6193">
              <w:rPr>
                <w:b w:val="0"/>
                <w:bCs/>
                <w:sz w:val="22"/>
              </w:rPr>
              <w:t xml:space="preserve">retailers to provide warnings and safety information about toppling hazards </w:t>
            </w:r>
            <w:r w:rsidRPr="00AF6193">
              <w:rPr>
                <w:sz w:val="22"/>
              </w:rPr>
              <w:t>in-store</w:t>
            </w:r>
            <w:r w:rsidRPr="00AF6193">
              <w:rPr>
                <w:b w:val="0"/>
                <w:bCs/>
                <w:sz w:val="22"/>
              </w:rPr>
              <w:t xml:space="preserve"> (</w:t>
            </w:r>
            <w:r w:rsidR="00B24F9E" w:rsidRPr="00AF6193">
              <w:rPr>
                <w:b w:val="0"/>
                <w:bCs/>
                <w:sz w:val="22"/>
              </w:rPr>
              <w:t>e.g.,</w:t>
            </w:r>
            <w:r w:rsidRPr="00AF6193">
              <w:rPr>
                <w:b w:val="0"/>
                <w:bCs/>
                <w:sz w:val="22"/>
              </w:rPr>
              <w:t xml:space="preserve"> ‘hang tag’ or ‘placard’) and </w:t>
            </w:r>
            <w:r w:rsidRPr="00AF6193">
              <w:rPr>
                <w:sz w:val="22"/>
              </w:rPr>
              <w:t>online</w:t>
            </w:r>
            <w:r w:rsidRPr="00AF6193">
              <w:rPr>
                <w:b w:val="0"/>
                <w:bCs/>
                <w:sz w:val="22"/>
              </w:rPr>
              <w:t>.</w:t>
            </w:r>
          </w:p>
        </w:tc>
      </w:tr>
    </w:tbl>
    <w:p w14:paraId="47F94B95" w14:textId="4705EC35" w:rsidR="003537AA" w:rsidRPr="00F05000" w:rsidRDefault="006C4099" w:rsidP="00F05000">
      <w:pPr>
        <w:spacing w:before="120"/>
        <w:rPr>
          <w:color w:val="410099" w:themeColor="accent1"/>
          <w:sz w:val="28"/>
          <w:szCs w:val="26"/>
        </w:rPr>
      </w:pPr>
      <w:bookmarkStart w:id="774" w:name="_Toc113977397"/>
      <w:bookmarkStart w:id="775" w:name="_Toc114039496"/>
      <w:bookmarkEnd w:id="773"/>
      <w:bookmarkEnd w:id="774"/>
      <w:bookmarkEnd w:id="775"/>
      <w:r w:rsidRPr="004D393F">
        <w:t xml:space="preserve">The combination of options </w:t>
      </w:r>
      <w:r w:rsidR="00202B60">
        <w:t xml:space="preserve">2 </w:t>
      </w:r>
      <w:r w:rsidRPr="004D393F">
        <w:t xml:space="preserve">and </w:t>
      </w:r>
      <w:r w:rsidR="00202B60">
        <w:t>3</w:t>
      </w:r>
      <w:r w:rsidRPr="002C1FE5">
        <w:t xml:space="preserve"> </w:t>
      </w:r>
      <w:r w:rsidR="00DE7B15">
        <w:t>would</w:t>
      </w:r>
      <w:r w:rsidR="00E34094">
        <w:t xml:space="preserve"> deliver</w:t>
      </w:r>
      <w:r w:rsidR="00E34094" w:rsidRPr="00BB4E99">
        <w:t xml:space="preserve"> </w:t>
      </w:r>
      <w:r w:rsidR="00683028" w:rsidRPr="00BB4E99">
        <w:t>all</w:t>
      </w:r>
      <w:r w:rsidRPr="002C1FE5">
        <w:t xml:space="preserve"> the benefits and limitations associated with the provision of</w:t>
      </w:r>
      <w:r w:rsidR="00BF7714" w:rsidRPr="002C1FE5">
        <w:t xml:space="preserve"> </w:t>
      </w:r>
      <w:r w:rsidR="00171B68" w:rsidRPr="002C1FE5">
        <w:t xml:space="preserve">warnings and safety </w:t>
      </w:r>
      <w:r w:rsidRPr="002C1FE5">
        <w:t>information</w:t>
      </w:r>
      <w:r w:rsidR="00171B68" w:rsidRPr="002C1FE5">
        <w:t xml:space="preserve">, an anchoring device </w:t>
      </w:r>
      <w:r w:rsidRPr="002C1FE5">
        <w:t xml:space="preserve">and </w:t>
      </w:r>
      <w:r w:rsidR="00BF7714" w:rsidRPr="002C1FE5">
        <w:t>stability testing</w:t>
      </w:r>
      <w:r w:rsidR="004D393F">
        <w:rPr>
          <w:sz w:val="20"/>
          <w:szCs w:val="18"/>
        </w:rPr>
        <w:t>.</w:t>
      </w:r>
    </w:p>
    <w:p w14:paraId="49027681" w14:textId="3278E12D" w:rsidR="003A66E5" w:rsidRDefault="00DD5F5C" w:rsidP="00B70FC6">
      <w:pPr>
        <w:pStyle w:val="Heading1"/>
      </w:pPr>
      <w:bookmarkStart w:id="776" w:name="_Toc126074147"/>
      <w:r w:rsidRPr="00B46102">
        <w:t>Costs and benefits of</w:t>
      </w:r>
      <w:r w:rsidR="00DE7B15">
        <w:t xml:space="preserve"> regulatory intervention</w:t>
      </w:r>
      <w:bookmarkEnd w:id="776"/>
      <w:r w:rsidR="00DE7B15">
        <w:t xml:space="preserve"> </w:t>
      </w:r>
    </w:p>
    <w:p w14:paraId="5DDF4D3D" w14:textId="60A52621" w:rsidR="006A74D1" w:rsidRDefault="00193863" w:rsidP="00F05000">
      <w:pPr>
        <w:spacing w:before="120"/>
      </w:pPr>
      <w:bookmarkStart w:id="777" w:name="_Hlk122096758"/>
      <w:r w:rsidRPr="00193863">
        <w:t>Th</w:t>
      </w:r>
      <w:r>
        <w:t xml:space="preserve">e </w:t>
      </w:r>
      <w:r w:rsidRPr="00193863">
        <w:t>cost</w:t>
      </w:r>
      <w:r>
        <w:t>-</w:t>
      </w:r>
      <w:r w:rsidRPr="00193863">
        <w:t xml:space="preserve">benefit analysis indicates the cost of intervention relative to outcomes in terms of injuries and fatalities </w:t>
      </w:r>
      <w:r w:rsidR="00BC1D21" w:rsidRPr="00193863">
        <w:t>prevented</w:t>
      </w:r>
      <w:r w:rsidR="00BC1D21">
        <w:t xml:space="preserve"> and</w:t>
      </w:r>
      <w:r w:rsidR="006A74D1">
        <w:t xml:space="preserve"> suggests there is a net benefit associated </w:t>
      </w:r>
      <w:r w:rsidR="009A22C4">
        <w:t xml:space="preserve">with </w:t>
      </w:r>
      <w:r w:rsidR="00A52B9E">
        <w:t>any of the proposed regulatory options</w:t>
      </w:r>
      <w:r w:rsidR="006A74D1">
        <w:t xml:space="preserve">. </w:t>
      </w:r>
      <w:bookmarkStart w:id="778" w:name="_Hlk124948564"/>
      <w:bookmarkEnd w:id="777"/>
      <w:r w:rsidR="00D460F3">
        <w:t xml:space="preserve">A </w:t>
      </w:r>
      <w:bookmarkEnd w:id="778"/>
      <w:r w:rsidR="00D460F3">
        <w:t>s</w:t>
      </w:r>
      <w:r w:rsidR="006A74D1">
        <w:t xml:space="preserve">afety standard would be viable in future according to this analysis. </w:t>
      </w:r>
    </w:p>
    <w:p w14:paraId="49E75B82" w14:textId="77ADEAC1" w:rsidR="00A45D36" w:rsidRDefault="00764E6D" w:rsidP="00F05000">
      <w:pPr>
        <w:spacing w:before="120"/>
      </w:pPr>
      <w:r>
        <w:t>Due to the nature of the policy problem, there are a number of limitations</w:t>
      </w:r>
      <w:r w:rsidR="0075021B">
        <w:t xml:space="preserve"> to </w:t>
      </w:r>
      <w:r w:rsidR="00FA5F06">
        <w:t>the analysis of costs and benefits.</w:t>
      </w:r>
    </w:p>
    <w:p w14:paraId="5C2D925F" w14:textId="239982F8" w:rsidR="00D460F3" w:rsidRDefault="00764E6D" w:rsidP="00F86605">
      <w:pPr>
        <w:pStyle w:val="BodyText"/>
        <w:numPr>
          <w:ilvl w:val="0"/>
          <w:numId w:val="31"/>
        </w:numPr>
      </w:pPr>
      <w:r>
        <w:t xml:space="preserve">There </w:t>
      </w:r>
      <w:r w:rsidR="00193863">
        <w:t xml:space="preserve">is no </w:t>
      </w:r>
      <w:r>
        <w:t xml:space="preserve">comparable </w:t>
      </w:r>
      <w:r w:rsidR="00F05A03">
        <w:t>intervention</w:t>
      </w:r>
      <w:r>
        <w:t xml:space="preserve"> </w:t>
      </w:r>
      <w:r w:rsidR="00193863">
        <w:t>to</w:t>
      </w:r>
      <w:r>
        <w:t xml:space="preserve"> indicate the relevant efficacy of mandatory information</w:t>
      </w:r>
      <w:r w:rsidR="0001634C">
        <w:t xml:space="preserve"> or safety</w:t>
      </w:r>
      <w:r>
        <w:t xml:space="preserve"> standard</w:t>
      </w:r>
      <w:r w:rsidR="0001634C">
        <w:t>s</w:t>
      </w:r>
      <w:r w:rsidR="00193863">
        <w:t xml:space="preserve"> </w:t>
      </w:r>
      <w:r w:rsidR="00F05A03">
        <w:t>to reduce deaths and injuries caused by</w:t>
      </w:r>
      <w:r w:rsidR="00193863">
        <w:t xml:space="preserve"> toppling furniture</w:t>
      </w:r>
      <w:r>
        <w:t>.</w:t>
      </w:r>
      <w:r w:rsidR="00580C4B">
        <w:t xml:space="preserve"> </w:t>
      </w:r>
      <w:r w:rsidR="0087135E">
        <w:t xml:space="preserve">The effectiveness of comparable legislation implemented in another jurisdiction would provide a benchmark </w:t>
      </w:r>
      <w:r w:rsidR="00A83B1A">
        <w:t>from which likely outcomes could be predicted.</w:t>
      </w:r>
      <w:r w:rsidR="00D460F3">
        <w:t xml:space="preserve"> </w:t>
      </w:r>
    </w:p>
    <w:p w14:paraId="030FAC4A" w14:textId="0F26A91C" w:rsidR="00F86605" w:rsidRDefault="007C4DB4" w:rsidP="00F86605">
      <w:pPr>
        <w:pStyle w:val="BodyText"/>
        <w:numPr>
          <w:ilvl w:val="0"/>
          <w:numId w:val="31"/>
        </w:numPr>
      </w:pPr>
      <w:r>
        <w:t>There is</w:t>
      </w:r>
      <w:r w:rsidR="00F86605">
        <w:t xml:space="preserve"> a lack of information regarding the number of affected households, furniture items available for sale in Australia and the potential number of businesses likely to be affected by the regulatory intervention.</w:t>
      </w:r>
      <w:r w:rsidR="0087135E">
        <w:t xml:space="preserve"> This information would enable the development of a more robust cost benefit analysis.</w:t>
      </w:r>
    </w:p>
    <w:p w14:paraId="3E93A272" w14:textId="475F68DA" w:rsidR="00AE1FDA" w:rsidRDefault="00FA5F06" w:rsidP="00B70FC6">
      <w:bookmarkStart w:id="779" w:name="_Hlk122096809"/>
      <w:r>
        <w:t xml:space="preserve">As a result of the data limitations, </w:t>
      </w:r>
      <w:r w:rsidR="009A2EE3">
        <w:t xml:space="preserve">the cost-benefit analysis relies on </w:t>
      </w:r>
      <w:r w:rsidR="009E68E1">
        <w:t xml:space="preserve">certain </w:t>
      </w:r>
      <w:r w:rsidR="009A2EE3">
        <w:t xml:space="preserve">assumptions, </w:t>
      </w:r>
      <w:bookmarkStart w:id="780" w:name="_Hlk122098509"/>
      <w:r w:rsidR="009A2EE3">
        <w:t xml:space="preserve">including </w:t>
      </w:r>
      <w:r w:rsidR="00910037">
        <w:t xml:space="preserve">the number of </w:t>
      </w:r>
      <w:r w:rsidR="009A2EE3">
        <w:t xml:space="preserve">households in Australia with children under 5 years of age, the number of in-scope furniture items in each </w:t>
      </w:r>
      <w:r w:rsidR="00BC1D21">
        <w:t>household, the</w:t>
      </w:r>
      <w:r w:rsidR="009A2EE3">
        <w:t xml:space="preserve"> frequency of replacement</w:t>
      </w:r>
      <w:bookmarkEnd w:id="780"/>
      <w:r w:rsidR="00DD7449">
        <w:t xml:space="preserve"> and the reduction of deaths and injuries as a result of intervention.</w:t>
      </w:r>
      <w:r w:rsidR="009A2EE3">
        <w:t xml:space="preserve"> </w:t>
      </w:r>
    </w:p>
    <w:bookmarkEnd w:id="779"/>
    <w:p w14:paraId="07946B2D" w14:textId="7A4BCFF2" w:rsidR="009A2EE3" w:rsidRDefault="009A2EE3" w:rsidP="00B70FC6">
      <w:r>
        <w:t>The cost-benefit analysis has assumed benefit from intervention broadly, but does not differentiate by the type of intervention, whether that be stability requirements, anchoring or</w:t>
      </w:r>
      <w:r w:rsidR="0001634C">
        <w:t xml:space="preserve"> the provision of</w:t>
      </w:r>
      <w:r>
        <w:t xml:space="preserve"> information. As such, </w:t>
      </w:r>
      <w:r w:rsidR="00910037">
        <w:t xml:space="preserve">the </w:t>
      </w:r>
      <w:r>
        <w:t xml:space="preserve">cost-benefit analysis </w:t>
      </w:r>
      <w:r w:rsidR="00AE1FDA">
        <w:t>suggests</w:t>
      </w:r>
      <w:r>
        <w:t xml:space="preserve"> that all options are viable but does not</w:t>
      </w:r>
      <w:r w:rsidR="000E4345">
        <w:t xml:space="preserve"> directly</w:t>
      </w:r>
      <w:r>
        <w:t xml:space="preserve"> </w:t>
      </w:r>
      <w:r w:rsidR="000E4345">
        <w:t>demonstrate the costs and benefits of</w:t>
      </w:r>
      <w:r w:rsidR="00533258">
        <w:t xml:space="preserve"> </w:t>
      </w:r>
      <w:r>
        <w:t>recommended option.</w:t>
      </w:r>
    </w:p>
    <w:p w14:paraId="652A97DA" w14:textId="2FE9B24D" w:rsidR="00764E6D" w:rsidRPr="00764E6D" w:rsidRDefault="001F3598" w:rsidP="00B64F3F">
      <w:pPr>
        <w:pStyle w:val="Numbered11"/>
      </w:pPr>
      <w:bookmarkStart w:id="781" w:name="_Toc126074148"/>
      <w:r w:rsidRPr="00715F89">
        <w:t xml:space="preserve">Costs of </w:t>
      </w:r>
      <w:r w:rsidR="000277A6" w:rsidRPr="00715F89">
        <w:t>c</w:t>
      </w:r>
      <w:r w:rsidR="000277A6">
        <w:t>o</w:t>
      </w:r>
      <w:r w:rsidR="000277A6" w:rsidRPr="00715F89">
        <w:t>mpliance</w:t>
      </w:r>
      <w:bookmarkEnd w:id="781"/>
    </w:p>
    <w:p w14:paraId="2238F5CB" w14:textId="0A30F7A1" w:rsidR="00FC276B" w:rsidRPr="006A4B13" w:rsidRDefault="00FC276B" w:rsidP="00FC276B">
      <w:pPr>
        <w:spacing w:before="120"/>
      </w:pPr>
      <w:r>
        <w:t>The ACCC undertook a</w:t>
      </w:r>
      <w:r w:rsidRPr="00F05000">
        <w:t xml:space="preserve"> </w:t>
      </w:r>
      <w:r>
        <w:t xml:space="preserve">cost-benefit analysis incorporating a number of </w:t>
      </w:r>
      <w:r w:rsidRPr="00F05000">
        <w:t xml:space="preserve">assumptions. The assumptions can be found in </w:t>
      </w:r>
      <w:r>
        <w:t>At</w:t>
      </w:r>
      <w:r w:rsidRPr="00F05000">
        <w:t xml:space="preserve">tachment </w:t>
      </w:r>
      <w:r>
        <w:t>B</w:t>
      </w:r>
      <w:r w:rsidRPr="00F05000">
        <w:t>.</w:t>
      </w:r>
      <w:r>
        <w:t xml:space="preserve"> </w:t>
      </w:r>
    </w:p>
    <w:p w14:paraId="771169BB" w14:textId="3EB97180" w:rsidR="001F3598" w:rsidRDefault="00214882" w:rsidP="00F05000">
      <w:pPr>
        <w:spacing w:before="120"/>
      </w:pPr>
      <w:r>
        <w:t>To</w:t>
      </w:r>
      <w:r w:rsidR="006A4B13">
        <w:t xml:space="preserve"> consider whether the benefit of regulation </w:t>
      </w:r>
      <w:r w:rsidR="000277A6">
        <w:t>will outweigh</w:t>
      </w:r>
      <w:r w:rsidR="006A4B13">
        <w:t xml:space="preserve"> the relative cost of compliance, the ACCC </w:t>
      </w:r>
      <w:r w:rsidR="000277A6">
        <w:t xml:space="preserve">considered the estimated costs of </w:t>
      </w:r>
      <w:r>
        <w:t>compliance</w:t>
      </w:r>
      <w:r w:rsidR="000277A6">
        <w:t xml:space="preserve">. </w:t>
      </w:r>
      <w:r w:rsidR="000A0A63">
        <w:t>Based on market research and quotes, the ACCC estimate</w:t>
      </w:r>
      <w:r w:rsidR="009A22C4">
        <w:t>d</w:t>
      </w:r>
      <w:r w:rsidR="000A0A63">
        <w:t xml:space="preserve"> the cost to comply with the labelling and safety information</w:t>
      </w:r>
      <w:r w:rsidR="00402AA9">
        <w:t>, stability</w:t>
      </w:r>
      <w:r w:rsidR="009A22C4">
        <w:t xml:space="preserve"> and anchoring</w:t>
      </w:r>
      <w:r w:rsidR="000A0A63">
        <w:t xml:space="preserve"> requirements as shown in Table 7.</w:t>
      </w:r>
      <w:r w:rsidR="000A0A63">
        <w:rPr>
          <w:rStyle w:val="FootnoteReference"/>
        </w:rPr>
        <w:footnoteReference w:id="39"/>
      </w:r>
      <w:r w:rsidR="009A22C4" w:rsidRPr="00915E3D">
        <w:rPr>
          <w:vertAlign w:val="superscript"/>
        </w:rPr>
        <w:t>,</w:t>
      </w:r>
      <w:r w:rsidR="0013786F" w:rsidRPr="000111ED">
        <w:rPr>
          <w:rStyle w:val="FootnoteReference"/>
          <w:rFonts w:eastAsia="Times New Roman" w:cs="Arial"/>
          <w:color w:val="000000"/>
          <w:lang w:eastAsia="en-AU"/>
        </w:rPr>
        <w:footnoteReference w:id="40"/>
      </w:r>
    </w:p>
    <w:p w14:paraId="4DBE58EB" w14:textId="497582A8" w:rsidR="000277A6" w:rsidRDefault="00186ACB" w:rsidP="00F05000">
      <w:pPr>
        <w:spacing w:before="120"/>
      </w:pPr>
      <w:r>
        <w:t>C</w:t>
      </w:r>
      <w:r w:rsidR="000277A6">
        <w:t>osts which relate to</w:t>
      </w:r>
      <w:r w:rsidR="00D63CF5">
        <w:t xml:space="preserve"> product model (testing, online warnings, point of sale warnings) can be divided by the number of individual items that are sold. For example, creating an online warning may </w:t>
      </w:r>
      <w:r w:rsidR="00E661F9">
        <w:t xml:space="preserve">have a </w:t>
      </w:r>
      <w:r w:rsidR="00802778">
        <w:t>substantial</w:t>
      </w:r>
      <w:r w:rsidR="00E661F9">
        <w:t xml:space="preserve"> upfront cost, but would potentially cover thousands of sales.</w:t>
      </w:r>
      <w:r w:rsidR="000F0EE8">
        <w:t xml:space="preserve"> However, </w:t>
      </w:r>
      <w:r w:rsidR="0001634C">
        <w:t>data is not available</w:t>
      </w:r>
      <w:r w:rsidR="000F0EE8">
        <w:t xml:space="preserve"> to</w:t>
      </w:r>
      <w:r w:rsidR="000F0EE8" w:rsidRPr="00F05A03">
        <w:t xml:space="preserve"> determine the number of items subject to the proposed regulation or the number of businesses likely to be affected.</w:t>
      </w:r>
    </w:p>
    <w:p w14:paraId="2A5005F7" w14:textId="5B01A6DA" w:rsidR="00193863" w:rsidRDefault="00193863">
      <w:pPr>
        <w:rPr>
          <w:b/>
          <w:bCs/>
        </w:rPr>
      </w:pPr>
      <w:r>
        <w:rPr>
          <w:b/>
          <w:bCs/>
        </w:rPr>
        <w:br w:type="page"/>
      </w:r>
    </w:p>
    <w:p w14:paraId="012C9A02" w14:textId="137C803B" w:rsidR="000A0A63" w:rsidRPr="000A0A63" w:rsidRDefault="000A0A63" w:rsidP="00F05000">
      <w:pPr>
        <w:spacing w:before="120"/>
        <w:rPr>
          <w:b/>
          <w:bCs/>
        </w:rPr>
      </w:pPr>
      <w:r>
        <w:rPr>
          <w:b/>
          <w:bCs/>
        </w:rPr>
        <w:t>Table 7</w:t>
      </w:r>
      <w:r w:rsidR="0059013E">
        <w:rPr>
          <w:b/>
          <w:bCs/>
        </w:rPr>
        <w:t>: Estimated compliance costs</w:t>
      </w:r>
      <w:r w:rsidR="00402AA9">
        <w:rPr>
          <w:b/>
          <w:bCs/>
        </w:rPr>
        <w:t xml:space="preserve"> </w:t>
      </w:r>
    </w:p>
    <w:tbl>
      <w:tblPr>
        <w:tblW w:w="9235" w:type="dxa"/>
        <w:tblLook w:val="04A0" w:firstRow="1" w:lastRow="0" w:firstColumn="1" w:lastColumn="0" w:noHBand="0" w:noVBand="1"/>
      </w:tblPr>
      <w:tblGrid>
        <w:gridCol w:w="6444"/>
        <w:gridCol w:w="2791"/>
      </w:tblGrid>
      <w:tr w:rsidR="001F3598" w:rsidRPr="00731B25" w14:paraId="38320806" w14:textId="77777777" w:rsidTr="00960947">
        <w:trPr>
          <w:trHeight w:val="229"/>
        </w:trPr>
        <w:tc>
          <w:tcPr>
            <w:tcW w:w="644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2122045" w14:textId="55D33CE2" w:rsidR="001F3598" w:rsidRPr="00731B25" w:rsidRDefault="009A22C4" w:rsidP="00F05000">
            <w:pPr>
              <w:spacing w:before="120"/>
              <w:rPr>
                <w:rFonts w:eastAsia="Times New Roman" w:cs="Arial"/>
                <w:color w:val="000000"/>
                <w:sz w:val="20"/>
                <w:szCs w:val="20"/>
                <w:lang w:eastAsia="en-AU"/>
              </w:rPr>
            </w:pPr>
            <w:r>
              <w:rPr>
                <w:rFonts w:eastAsia="Times New Roman" w:cs="Arial"/>
                <w:color w:val="000000"/>
                <w:sz w:val="20"/>
                <w:szCs w:val="20"/>
                <w:lang w:eastAsia="en-AU"/>
              </w:rPr>
              <w:t>P</w:t>
            </w:r>
            <w:r w:rsidR="001F3598" w:rsidRPr="00731B25">
              <w:rPr>
                <w:rFonts w:eastAsia="Times New Roman" w:cs="Arial"/>
                <w:color w:val="000000"/>
                <w:sz w:val="20"/>
                <w:szCs w:val="20"/>
                <w:lang w:eastAsia="en-AU"/>
              </w:rPr>
              <w:t>ermanent label</w:t>
            </w:r>
          </w:p>
        </w:tc>
        <w:tc>
          <w:tcPr>
            <w:tcW w:w="2791" w:type="dxa"/>
            <w:tcBorders>
              <w:top w:val="single" w:sz="8" w:space="0" w:color="auto"/>
              <w:left w:val="nil"/>
              <w:bottom w:val="single" w:sz="4" w:space="0" w:color="auto"/>
              <w:right w:val="single" w:sz="8" w:space="0" w:color="auto"/>
            </w:tcBorders>
            <w:shd w:val="clear" w:color="auto" w:fill="auto"/>
            <w:noWrap/>
            <w:vAlign w:val="bottom"/>
            <w:hideMark/>
          </w:tcPr>
          <w:p w14:paraId="3C6CE24A" w14:textId="77777777" w:rsidR="001F3598" w:rsidRPr="00731B25" w:rsidRDefault="001F3598" w:rsidP="00F05000">
            <w:pPr>
              <w:spacing w:before="120"/>
              <w:rPr>
                <w:rFonts w:eastAsia="Times New Roman" w:cs="Arial"/>
                <w:color w:val="000000"/>
                <w:sz w:val="20"/>
                <w:szCs w:val="20"/>
                <w:lang w:eastAsia="en-AU"/>
              </w:rPr>
            </w:pPr>
            <w:r w:rsidRPr="00731B25">
              <w:rPr>
                <w:rFonts w:eastAsia="Times New Roman" w:cs="Arial"/>
                <w:color w:val="000000"/>
                <w:sz w:val="20"/>
                <w:szCs w:val="20"/>
                <w:lang w:eastAsia="en-AU"/>
              </w:rPr>
              <w:t>$0.20 - $1 per unit</w:t>
            </w:r>
          </w:p>
        </w:tc>
      </w:tr>
      <w:tr w:rsidR="001F3598" w:rsidRPr="00731B25" w14:paraId="1347B1FE" w14:textId="77777777" w:rsidTr="00960947">
        <w:trPr>
          <w:trHeight w:val="229"/>
        </w:trPr>
        <w:tc>
          <w:tcPr>
            <w:tcW w:w="644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26AB188" w14:textId="08988DC4" w:rsidR="001F3598" w:rsidRPr="00731B25" w:rsidRDefault="009A22C4" w:rsidP="00F05000">
            <w:pPr>
              <w:spacing w:before="120"/>
              <w:rPr>
                <w:rFonts w:eastAsia="Times New Roman" w:cs="Arial"/>
                <w:color w:val="000000"/>
                <w:sz w:val="20"/>
                <w:szCs w:val="20"/>
                <w:lang w:eastAsia="en-AU"/>
              </w:rPr>
            </w:pPr>
            <w:r>
              <w:rPr>
                <w:rFonts w:eastAsia="Times New Roman" w:cs="Arial"/>
                <w:color w:val="000000"/>
                <w:sz w:val="20"/>
                <w:szCs w:val="20"/>
                <w:lang w:eastAsia="en-AU"/>
              </w:rPr>
              <w:t>Including</w:t>
            </w:r>
            <w:r w:rsidR="001F3598" w:rsidRPr="00731B25">
              <w:rPr>
                <w:rFonts w:eastAsia="Times New Roman" w:cs="Arial"/>
                <w:color w:val="000000"/>
                <w:sz w:val="20"/>
                <w:szCs w:val="20"/>
                <w:lang w:eastAsia="en-AU"/>
              </w:rPr>
              <w:t xml:space="preserve"> warnings on product packaging</w:t>
            </w:r>
          </w:p>
        </w:tc>
        <w:tc>
          <w:tcPr>
            <w:tcW w:w="2791" w:type="dxa"/>
            <w:tcBorders>
              <w:top w:val="nil"/>
              <w:left w:val="nil"/>
              <w:bottom w:val="single" w:sz="4" w:space="0" w:color="auto"/>
              <w:right w:val="single" w:sz="8" w:space="0" w:color="auto"/>
            </w:tcBorders>
            <w:shd w:val="clear" w:color="auto" w:fill="auto"/>
            <w:noWrap/>
            <w:vAlign w:val="bottom"/>
            <w:hideMark/>
          </w:tcPr>
          <w:p w14:paraId="0229A911" w14:textId="77777777" w:rsidR="001F3598" w:rsidRPr="00731B25" w:rsidRDefault="001F3598" w:rsidP="00F05000">
            <w:pPr>
              <w:spacing w:before="120"/>
              <w:rPr>
                <w:rFonts w:eastAsia="Times New Roman" w:cs="Arial"/>
                <w:color w:val="000000"/>
                <w:sz w:val="20"/>
                <w:szCs w:val="20"/>
                <w:lang w:eastAsia="en-AU"/>
              </w:rPr>
            </w:pPr>
            <w:r w:rsidRPr="00731B25">
              <w:rPr>
                <w:rFonts w:eastAsia="Times New Roman" w:cs="Arial"/>
                <w:color w:val="000000"/>
                <w:sz w:val="20"/>
                <w:szCs w:val="20"/>
                <w:lang w:eastAsia="en-AU"/>
              </w:rPr>
              <w:t>$0.05 per unit</w:t>
            </w:r>
          </w:p>
        </w:tc>
      </w:tr>
      <w:tr w:rsidR="001F3598" w:rsidRPr="00731B25" w14:paraId="075D2741" w14:textId="77777777" w:rsidTr="00960947">
        <w:trPr>
          <w:trHeight w:val="229"/>
        </w:trPr>
        <w:tc>
          <w:tcPr>
            <w:tcW w:w="644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0841553" w14:textId="3D90D424" w:rsidR="001F3598" w:rsidRPr="00731B25" w:rsidRDefault="00FC67D6" w:rsidP="00F05000">
            <w:pPr>
              <w:spacing w:before="120"/>
              <w:rPr>
                <w:rFonts w:eastAsia="Times New Roman" w:cs="Arial"/>
                <w:color w:val="000000"/>
                <w:sz w:val="20"/>
                <w:szCs w:val="20"/>
                <w:lang w:eastAsia="en-AU"/>
              </w:rPr>
            </w:pPr>
            <w:r>
              <w:rPr>
                <w:rFonts w:eastAsia="Times New Roman" w:cs="Arial"/>
                <w:color w:val="000000"/>
                <w:sz w:val="20"/>
                <w:szCs w:val="20"/>
                <w:lang w:eastAsia="en-AU"/>
              </w:rPr>
              <w:t>Including</w:t>
            </w:r>
            <w:r w:rsidRPr="00731B25">
              <w:rPr>
                <w:rFonts w:eastAsia="Times New Roman" w:cs="Arial"/>
                <w:color w:val="000000"/>
                <w:sz w:val="20"/>
                <w:szCs w:val="20"/>
                <w:lang w:eastAsia="en-AU"/>
              </w:rPr>
              <w:t xml:space="preserve"> </w:t>
            </w:r>
            <w:r w:rsidR="001F3598" w:rsidRPr="00731B25">
              <w:rPr>
                <w:rFonts w:eastAsia="Times New Roman" w:cs="Arial"/>
                <w:color w:val="000000"/>
                <w:sz w:val="20"/>
                <w:szCs w:val="20"/>
                <w:lang w:eastAsia="en-AU"/>
              </w:rPr>
              <w:t>warnings in the instruction manuals</w:t>
            </w:r>
          </w:p>
        </w:tc>
        <w:tc>
          <w:tcPr>
            <w:tcW w:w="2791" w:type="dxa"/>
            <w:tcBorders>
              <w:top w:val="nil"/>
              <w:left w:val="nil"/>
              <w:bottom w:val="single" w:sz="4" w:space="0" w:color="auto"/>
              <w:right w:val="single" w:sz="8" w:space="0" w:color="auto"/>
            </w:tcBorders>
            <w:shd w:val="clear" w:color="auto" w:fill="auto"/>
            <w:noWrap/>
            <w:vAlign w:val="bottom"/>
            <w:hideMark/>
          </w:tcPr>
          <w:p w14:paraId="2632D68A" w14:textId="77777777" w:rsidR="001F3598" w:rsidRPr="00731B25" w:rsidRDefault="001F3598" w:rsidP="00F05000">
            <w:pPr>
              <w:spacing w:before="120"/>
              <w:rPr>
                <w:rFonts w:eastAsia="Times New Roman" w:cs="Arial"/>
                <w:color w:val="000000"/>
                <w:sz w:val="20"/>
                <w:szCs w:val="20"/>
                <w:lang w:eastAsia="en-AU"/>
              </w:rPr>
            </w:pPr>
            <w:r w:rsidRPr="00731B25">
              <w:rPr>
                <w:rFonts w:eastAsia="Times New Roman" w:cs="Arial"/>
                <w:color w:val="000000"/>
                <w:sz w:val="20"/>
                <w:szCs w:val="20"/>
                <w:lang w:eastAsia="en-AU"/>
              </w:rPr>
              <w:t>$0.05 per unit</w:t>
            </w:r>
          </w:p>
        </w:tc>
      </w:tr>
      <w:tr w:rsidR="001F3598" w:rsidRPr="00731B25" w14:paraId="69ACAE54" w14:textId="77777777" w:rsidTr="00960947">
        <w:trPr>
          <w:trHeight w:val="229"/>
        </w:trPr>
        <w:tc>
          <w:tcPr>
            <w:tcW w:w="644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BB7A828" w14:textId="15F41AE6" w:rsidR="001F3598" w:rsidRPr="00731B25" w:rsidRDefault="00FC67D6" w:rsidP="00F05000">
            <w:pPr>
              <w:spacing w:before="120"/>
              <w:rPr>
                <w:rFonts w:eastAsia="Times New Roman" w:cs="Arial"/>
                <w:color w:val="000000"/>
                <w:sz w:val="20"/>
                <w:szCs w:val="20"/>
                <w:lang w:eastAsia="en-AU"/>
              </w:rPr>
            </w:pPr>
            <w:r>
              <w:rPr>
                <w:rFonts w:eastAsia="Times New Roman" w:cs="Arial"/>
                <w:color w:val="000000"/>
                <w:sz w:val="20"/>
                <w:szCs w:val="20"/>
                <w:lang w:eastAsia="en-AU"/>
              </w:rPr>
              <w:t>P</w:t>
            </w:r>
            <w:r w:rsidR="001F3598" w:rsidRPr="00731B25">
              <w:rPr>
                <w:rFonts w:eastAsia="Times New Roman" w:cs="Arial"/>
                <w:color w:val="000000"/>
                <w:sz w:val="20"/>
                <w:szCs w:val="20"/>
                <w:lang w:eastAsia="en-AU"/>
              </w:rPr>
              <w:t>roviding anchoring devices</w:t>
            </w:r>
          </w:p>
        </w:tc>
        <w:tc>
          <w:tcPr>
            <w:tcW w:w="2791" w:type="dxa"/>
            <w:tcBorders>
              <w:top w:val="nil"/>
              <w:left w:val="nil"/>
              <w:bottom w:val="single" w:sz="4" w:space="0" w:color="auto"/>
              <w:right w:val="single" w:sz="8" w:space="0" w:color="auto"/>
            </w:tcBorders>
            <w:shd w:val="clear" w:color="auto" w:fill="auto"/>
            <w:noWrap/>
            <w:vAlign w:val="bottom"/>
            <w:hideMark/>
          </w:tcPr>
          <w:p w14:paraId="6FBABB34" w14:textId="77777777" w:rsidR="001F3598" w:rsidRPr="00731B25" w:rsidRDefault="001F3598" w:rsidP="00F05000">
            <w:pPr>
              <w:spacing w:before="120"/>
              <w:rPr>
                <w:rFonts w:eastAsia="Times New Roman" w:cs="Arial"/>
                <w:color w:val="000000"/>
                <w:sz w:val="20"/>
                <w:szCs w:val="20"/>
                <w:lang w:eastAsia="en-AU"/>
              </w:rPr>
            </w:pPr>
            <w:r w:rsidRPr="00731B25">
              <w:rPr>
                <w:rFonts w:eastAsia="Times New Roman" w:cs="Arial"/>
                <w:color w:val="000000"/>
                <w:sz w:val="20"/>
                <w:szCs w:val="20"/>
                <w:lang w:eastAsia="en-AU"/>
              </w:rPr>
              <w:t>$0.50 - $2 per unit</w:t>
            </w:r>
          </w:p>
        </w:tc>
      </w:tr>
      <w:tr w:rsidR="001F3598" w:rsidRPr="00731B25" w14:paraId="30774204" w14:textId="77777777" w:rsidTr="00960947">
        <w:trPr>
          <w:trHeight w:val="689"/>
        </w:trPr>
        <w:tc>
          <w:tcPr>
            <w:tcW w:w="644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0A8B0D9" w14:textId="56B4BED5" w:rsidR="001F3598" w:rsidRPr="00731B25" w:rsidRDefault="00FC67D6" w:rsidP="00F05000">
            <w:pPr>
              <w:spacing w:before="120"/>
              <w:rPr>
                <w:rFonts w:eastAsia="Times New Roman" w:cs="Arial"/>
                <w:color w:val="000000"/>
                <w:sz w:val="20"/>
                <w:szCs w:val="20"/>
                <w:lang w:eastAsia="en-AU"/>
              </w:rPr>
            </w:pPr>
            <w:r>
              <w:rPr>
                <w:rFonts w:eastAsia="Times New Roman" w:cs="Arial"/>
                <w:color w:val="000000"/>
                <w:sz w:val="20"/>
                <w:szCs w:val="20"/>
                <w:lang w:eastAsia="en-AU"/>
              </w:rPr>
              <w:t>A</w:t>
            </w:r>
            <w:r w:rsidR="001F3598" w:rsidRPr="00731B25">
              <w:rPr>
                <w:rFonts w:eastAsia="Times New Roman" w:cs="Arial"/>
                <w:color w:val="000000"/>
                <w:sz w:val="20"/>
                <w:szCs w:val="20"/>
                <w:lang w:eastAsia="en-AU"/>
              </w:rPr>
              <w:t>mend online materials to include warning message</w:t>
            </w:r>
          </w:p>
        </w:tc>
        <w:tc>
          <w:tcPr>
            <w:tcW w:w="2791" w:type="dxa"/>
            <w:tcBorders>
              <w:top w:val="nil"/>
              <w:left w:val="nil"/>
              <w:bottom w:val="single" w:sz="4" w:space="0" w:color="auto"/>
              <w:right w:val="single" w:sz="8" w:space="0" w:color="auto"/>
            </w:tcBorders>
            <w:shd w:val="clear" w:color="auto" w:fill="auto"/>
            <w:vAlign w:val="bottom"/>
            <w:hideMark/>
          </w:tcPr>
          <w:p w14:paraId="029530A1" w14:textId="77777777" w:rsidR="001F3598" w:rsidRPr="00731B25" w:rsidRDefault="001F3598" w:rsidP="00F05000">
            <w:pPr>
              <w:spacing w:before="120"/>
              <w:rPr>
                <w:rFonts w:eastAsia="Times New Roman" w:cs="Arial"/>
                <w:color w:val="000000"/>
                <w:sz w:val="20"/>
                <w:szCs w:val="20"/>
                <w:lang w:eastAsia="en-AU"/>
              </w:rPr>
            </w:pPr>
            <w:r w:rsidRPr="00731B25">
              <w:rPr>
                <w:rFonts w:eastAsia="Times New Roman" w:cs="Arial"/>
                <w:color w:val="000000"/>
                <w:sz w:val="20"/>
                <w:szCs w:val="20"/>
                <w:lang w:eastAsia="en-AU"/>
              </w:rPr>
              <w:t>Cost may vary from negligible to upwards of $500</w:t>
            </w:r>
          </w:p>
        </w:tc>
      </w:tr>
      <w:tr w:rsidR="001F3598" w:rsidRPr="00731B25" w14:paraId="3BE1DA73" w14:textId="77777777" w:rsidTr="00960947">
        <w:trPr>
          <w:trHeight w:val="229"/>
        </w:trPr>
        <w:tc>
          <w:tcPr>
            <w:tcW w:w="644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A2C6FC4" w14:textId="6A0A43DF" w:rsidR="001F3598" w:rsidRPr="00731B25" w:rsidRDefault="00FC67D6" w:rsidP="00F05000">
            <w:pPr>
              <w:spacing w:before="120"/>
              <w:rPr>
                <w:rFonts w:eastAsia="Times New Roman" w:cs="Arial"/>
                <w:color w:val="000000"/>
                <w:sz w:val="20"/>
                <w:szCs w:val="20"/>
                <w:lang w:eastAsia="en-AU"/>
              </w:rPr>
            </w:pPr>
            <w:r>
              <w:rPr>
                <w:rFonts w:eastAsia="Times New Roman" w:cs="Arial"/>
                <w:color w:val="000000"/>
                <w:sz w:val="20"/>
                <w:szCs w:val="20"/>
                <w:lang w:eastAsia="en-AU"/>
              </w:rPr>
              <w:t>P</w:t>
            </w:r>
            <w:r w:rsidR="001F3598" w:rsidRPr="00731B25">
              <w:rPr>
                <w:rFonts w:eastAsia="Times New Roman" w:cs="Arial"/>
                <w:color w:val="000000"/>
                <w:sz w:val="20"/>
                <w:szCs w:val="20"/>
                <w:lang w:eastAsia="en-AU"/>
              </w:rPr>
              <w:t>rint warning signs for point of sales</w:t>
            </w:r>
          </w:p>
        </w:tc>
        <w:tc>
          <w:tcPr>
            <w:tcW w:w="2791" w:type="dxa"/>
            <w:tcBorders>
              <w:top w:val="nil"/>
              <w:left w:val="nil"/>
              <w:bottom w:val="single" w:sz="4" w:space="0" w:color="auto"/>
              <w:right w:val="single" w:sz="8" w:space="0" w:color="auto"/>
            </w:tcBorders>
            <w:shd w:val="clear" w:color="auto" w:fill="auto"/>
            <w:noWrap/>
            <w:vAlign w:val="bottom"/>
            <w:hideMark/>
          </w:tcPr>
          <w:p w14:paraId="45C89AA7" w14:textId="77777777" w:rsidR="001F3598" w:rsidRPr="00731B25" w:rsidRDefault="001F3598" w:rsidP="00F05000">
            <w:pPr>
              <w:spacing w:before="120"/>
              <w:rPr>
                <w:rFonts w:eastAsia="Times New Roman" w:cs="Arial"/>
                <w:color w:val="000000"/>
                <w:sz w:val="20"/>
                <w:szCs w:val="20"/>
                <w:lang w:eastAsia="en-AU"/>
              </w:rPr>
            </w:pPr>
            <w:r w:rsidRPr="00731B25">
              <w:rPr>
                <w:rFonts w:eastAsia="Times New Roman" w:cs="Arial"/>
                <w:color w:val="000000"/>
                <w:sz w:val="20"/>
                <w:szCs w:val="20"/>
                <w:lang w:eastAsia="en-AU"/>
              </w:rPr>
              <w:t>$1.50 - $3 per sign</w:t>
            </w:r>
          </w:p>
        </w:tc>
      </w:tr>
      <w:tr w:rsidR="001F3598" w:rsidRPr="00731B25" w14:paraId="6C0BC750" w14:textId="77777777" w:rsidTr="00960947">
        <w:trPr>
          <w:trHeight w:val="229"/>
        </w:trPr>
        <w:tc>
          <w:tcPr>
            <w:tcW w:w="644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3CA5F1" w14:textId="2C96C07D" w:rsidR="001F3598" w:rsidRPr="00731B25" w:rsidRDefault="00FC67D6" w:rsidP="00F05000">
            <w:pPr>
              <w:spacing w:before="120"/>
              <w:rPr>
                <w:rFonts w:eastAsia="Times New Roman" w:cs="Arial"/>
                <w:color w:val="000000"/>
                <w:sz w:val="20"/>
                <w:szCs w:val="20"/>
                <w:lang w:eastAsia="en-AU"/>
              </w:rPr>
            </w:pPr>
            <w:r>
              <w:rPr>
                <w:rFonts w:eastAsia="Times New Roman" w:cs="Arial"/>
                <w:color w:val="000000"/>
                <w:sz w:val="20"/>
                <w:szCs w:val="20"/>
                <w:lang w:eastAsia="en-AU"/>
              </w:rPr>
              <w:t>S</w:t>
            </w:r>
            <w:r w:rsidR="001F3598" w:rsidRPr="00731B25">
              <w:rPr>
                <w:rFonts w:eastAsia="Times New Roman" w:cs="Arial"/>
                <w:color w:val="000000"/>
                <w:sz w:val="20"/>
                <w:szCs w:val="20"/>
                <w:lang w:eastAsia="en-AU"/>
              </w:rPr>
              <w:t>tability tests conducted in-house (initial cost)</w:t>
            </w:r>
          </w:p>
        </w:tc>
        <w:tc>
          <w:tcPr>
            <w:tcW w:w="2791" w:type="dxa"/>
            <w:tcBorders>
              <w:top w:val="nil"/>
              <w:left w:val="nil"/>
              <w:bottom w:val="single" w:sz="4" w:space="0" w:color="auto"/>
              <w:right w:val="single" w:sz="8" w:space="0" w:color="auto"/>
            </w:tcBorders>
            <w:shd w:val="clear" w:color="auto" w:fill="auto"/>
            <w:noWrap/>
            <w:vAlign w:val="bottom"/>
            <w:hideMark/>
          </w:tcPr>
          <w:p w14:paraId="34B70371" w14:textId="6B441A0F" w:rsidR="001F3598" w:rsidRPr="00731B25" w:rsidRDefault="001F3598" w:rsidP="00F05000">
            <w:pPr>
              <w:spacing w:before="120"/>
              <w:rPr>
                <w:rFonts w:eastAsia="Times New Roman" w:cs="Arial"/>
                <w:color w:val="000000"/>
                <w:sz w:val="20"/>
                <w:szCs w:val="20"/>
                <w:lang w:eastAsia="en-AU"/>
              </w:rPr>
            </w:pPr>
            <w:r w:rsidRPr="00731B25">
              <w:rPr>
                <w:rFonts w:eastAsia="Times New Roman" w:cs="Arial"/>
                <w:color w:val="000000"/>
                <w:sz w:val="20"/>
                <w:szCs w:val="20"/>
                <w:lang w:eastAsia="en-AU"/>
              </w:rPr>
              <w:t xml:space="preserve"> $300 - $700 per model</w:t>
            </w:r>
          </w:p>
        </w:tc>
      </w:tr>
      <w:tr w:rsidR="001F3598" w:rsidRPr="00731B25" w14:paraId="387DB84A" w14:textId="77777777" w:rsidTr="00960947">
        <w:trPr>
          <w:trHeight w:val="237"/>
        </w:trPr>
        <w:tc>
          <w:tcPr>
            <w:tcW w:w="644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AEA29EC" w14:textId="311E28B4" w:rsidR="001F3598" w:rsidRPr="00731B25" w:rsidRDefault="00FC67D6" w:rsidP="00F05000">
            <w:pPr>
              <w:spacing w:before="120"/>
              <w:rPr>
                <w:rFonts w:eastAsia="Times New Roman" w:cs="Arial"/>
                <w:color w:val="000000"/>
                <w:sz w:val="20"/>
                <w:szCs w:val="20"/>
                <w:lang w:eastAsia="en-AU"/>
              </w:rPr>
            </w:pPr>
            <w:r>
              <w:rPr>
                <w:rFonts w:eastAsia="Times New Roman" w:cs="Arial"/>
                <w:color w:val="000000"/>
                <w:sz w:val="20"/>
                <w:szCs w:val="20"/>
                <w:lang w:eastAsia="en-AU"/>
              </w:rPr>
              <w:t>S</w:t>
            </w:r>
            <w:r w:rsidR="001F3598" w:rsidRPr="00731B25">
              <w:rPr>
                <w:rFonts w:eastAsia="Times New Roman" w:cs="Arial"/>
                <w:color w:val="000000"/>
                <w:sz w:val="20"/>
                <w:szCs w:val="20"/>
                <w:lang w:eastAsia="en-AU"/>
              </w:rPr>
              <w:t>tability tests conducted by expert test lab</w:t>
            </w:r>
          </w:p>
        </w:tc>
        <w:tc>
          <w:tcPr>
            <w:tcW w:w="2791" w:type="dxa"/>
            <w:tcBorders>
              <w:top w:val="nil"/>
              <w:left w:val="nil"/>
              <w:bottom w:val="single" w:sz="8" w:space="0" w:color="auto"/>
              <w:right w:val="single" w:sz="8" w:space="0" w:color="auto"/>
            </w:tcBorders>
            <w:shd w:val="clear" w:color="auto" w:fill="auto"/>
            <w:noWrap/>
            <w:vAlign w:val="bottom"/>
            <w:hideMark/>
          </w:tcPr>
          <w:p w14:paraId="2456FEE7" w14:textId="77777777" w:rsidR="001F3598" w:rsidRPr="00731B25" w:rsidRDefault="001F3598" w:rsidP="00F05000">
            <w:pPr>
              <w:spacing w:before="120"/>
              <w:rPr>
                <w:rFonts w:eastAsia="Times New Roman" w:cs="Arial"/>
                <w:color w:val="000000"/>
                <w:sz w:val="20"/>
                <w:szCs w:val="20"/>
                <w:lang w:eastAsia="en-AU"/>
              </w:rPr>
            </w:pPr>
            <w:r w:rsidRPr="00731B25">
              <w:rPr>
                <w:rFonts w:eastAsia="Times New Roman" w:cs="Arial"/>
                <w:color w:val="000000"/>
                <w:sz w:val="20"/>
                <w:szCs w:val="20"/>
                <w:lang w:eastAsia="en-AU"/>
              </w:rPr>
              <w:t>$ 900 - $1000 per model*</w:t>
            </w:r>
          </w:p>
        </w:tc>
      </w:tr>
    </w:tbl>
    <w:p w14:paraId="7146D8BC" w14:textId="77777777" w:rsidR="001F3598" w:rsidRPr="006A4B13" w:rsidRDefault="001F3598" w:rsidP="00F05000">
      <w:pPr>
        <w:spacing w:before="120"/>
      </w:pPr>
    </w:p>
    <w:p w14:paraId="186274BD" w14:textId="3FDC875A" w:rsidR="00A87B2F" w:rsidRDefault="00FB59CA" w:rsidP="00B64F3F">
      <w:pPr>
        <w:pStyle w:val="Numbered11"/>
      </w:pPr>
      <w:bookmarkStart w:id="782" w:name="_Toc126074149"/>
      <w:r>
        <w:t>Benefits associated with regulation</w:t>
      </w:r>
      <w:bookmarkEnd w:id="782"/>
    </w:p>
    <w:p w14:paraId="1425238C" w14:textId="36C733F9" w:rsidR="00A87B2F" w:rsidRDefault="00A87B2F" w:rsidP="00F05000">
      <w:pPr>
        <w:spacing w:before="120"/>
      </w:pPr>
      <w:r w:rsidRPr="00456390">
        <w:t xml:space="preserve">The cost-benefit analysis </w:t>
      </w:r>
      <w:r w:rsidR="00146BFC">
        <w:t>establishes</w:t>
      </w:r>
      <w:r w:rsidR="001B2888">
        <w:t xml:space="preserve"> </w:t>
      </w:r>
      <w:r w:rsidRPr="00456390">
        <w:t>the benefit gained by all consumers from regulation, in the form of reduced deaths (an assumed 30% fewer deaths) and injuries (an assumed 50% fewer injuries), would be approximately $0.60 per item of furniture</w:t>
      </w:r>
      <w:r w:rsidR="007E3DF9">
        <w:t xml:space="preserve"> (see Table 8)</w:t>
      </w:r>
      <w:r w:rsidRPr="00456390">
        <w:t>.</w:t>
      </w:r>
    </w:p>
    <w:p w14:paraId="0A79B204" w14:textId="60523D98" w:rsidR="00465BB9" w:rsidRPr="000A0A63" w:rsidRDefault="00465BB9" w:rsidP="00465BB9">
      <w:pPr>
        <w:spacing w:before="120"/>
        <w:rPr>
          <w:b/>
          <w:bCs/>
        </w:rPr>
      </w:pPr>
      <w:r>
        <w:rPr>
          <w:b/>
          <w:bCs/>
        </w:rPr>
        <w:t>Table 8</w:t>
      </w:r>
      <w:r w:rsidR="0059013E">
        <w:rPr>
          <w:b/>
          <w:bCs/>
        </w:rPr>
        <w:t>: Benefit from regulation (all households)</w:t>
      </w:r>
    </w:p>
    <w:p w14:paraId="5491674D" w14:textId="0724653D" w:rsidR="00465BB9" w:rsidRDefault="00623F1C" w:rsidP="00F05000">
      <w:pPr>
        <w:spacing w:before="120"/>
      </w:pPr>
      <w:r w:rsidRPr="00623F1C">
        <w:rPr>
          <w:noProof/>
          <w:lang w:eastAsia="en-AU"/>
        </w:rPr>
        <w:drawing>
          <wp:inline distT="0" distB="0" distL="0" distR="0" wp14:anchorId="3EAED471" wp14:editId="23EF4F0B">
            <wp:extent cx="5883341" cy="8858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14790" cy="890560"/>
                    </a:xfrm>
                    <a:prstGeom prst="rect">
                      <a:avLst/>
                    </a:prstGeom>
                    <a:noFill/>
                    <a:ln>
                      <a:noFill/>
                    </a:ln>
                  </pic:spPr>
                </pic:pic>
              </a:graphicData>
            </a:graphic>
          </wp:inline>
        </w:drawing>
      </w:r>
    </w:p>
    <w:p w14:paraId="711E2EA2" w14:textId="719998F9" w:rsidR="00964188" w:rsidRDefault="00A87B2F" w:rsidP="00ED2063">
      <w:pPr>
        <w:spacing w:before="120"/>
      </w:pPr>
      <w:r>
        <w:t>The cost-benefit analysis assumes that toppling furniture incidents primarily affect young children, with this demographic accounting for 80% of deaths and 50% of injuries. Consequently, t</w:t>
      </w:r>
      <w:r w:rsidRPr="00B02644">
        <w:t xml:space="preserve">here is greater benefit for </w:t>
      </w:r>
      <w:r>
        <w:t xml:space="preserve">households </w:t>
      </w:r>
      <w:r w:rsidRPr="00B02644">
        <w:t>with young children. The cost-benefit analysis suggests that for these households the benefit gained from regulation</w:t>
      </w:r>
      <w:r w:rsidR="001736F3">
        <w:t xml:space="preserve"> </w:t>
      </w:r>
      <w:r w:rsidRPr="00B02644">
        <w:t>would be approximately $4.40 per item of furniture.</w:t>
      </w:r>
      <w:r>
        <w:t xml:space="preserve"> For households without young children, the benefit </w:t>
      </w:r>
      <w:r w:rsidR="001736F3">
        <w:t xml:space="preserve">is </w:t>
      </w:r>
      <w:r>
        <w:t>approximately 16 cents per item of furniture.</w:t>
      </w:r>
    </w:p>
    <w:p w14:paraId="29CE9727" w14:textId="08C6B2D5" w:rsidR="006F4FF1" w:rsidRDefault="00C33F2B" w:rsidP="00B64F3F">
      <w:pPr>
        <w:pStyle w:val="Numbered11"/>
      </w:pPr>
      <w:bookmarkStart w:id="783" w:name="_Toc126074150"/>
      <w:r w:rsidRPr="004F52F7">
        <w:t>Sensitivity Analysis</w:t>
      </w:r>
      <w:bookmarkEnd w:id="783"/>
      <w:r w:rsidRPr="004F52F7">
        <w:t xml:space="preserve"> </w:t>
      </w:r>
    </w:p>
    <w:p w14:paraId="681DC583" w14:textId="15FC0F1B" w:rsidR="00E80C92" w:rsidRDefault="00FE19BD" w:rsidP="00ED2063">
      <w:pPr>
        <w:spacing w:before="120"/>
      </w:pPr>
      <w:r>
        <w:t>The ACCC estimates about 1.5 deaths and about 1000 injuries per year at a cost of $5</w:t>
      </w:r>
      <w:r w:rsidR="00522B29">
        <w:t xml:space="preserve"> </w:t>
      </w:r>
      <w:r>
        <w:t>million per death and $750</w:t>
      </w:r>
      <w:r w:rsidR="00901E72">
        <w:t xml:space="preserve"> </w:t>
      </w:r>
      <w:r>
        <w:t>per injury. This is a total cost of $8.25 million per annum</w:t>
      </w:r>
      <w:r w:rsidR="00F034E8">
        <w:t xml:space="preserve"> </w:t>
      </w:r>
      <w:r>
        <w:t xml:space="preserve">with no intervention. </w:t>
      </w:r>
    </w:p>
    <w:p w14:paraId="7A4AB26E" w14:textId="0D163786" w:rsidR="000A12A3" w:rsidRDefault="001D733A" w:rsidP="00ED2063">
      <w:pPr>
        <w:spacing w:before="120"/>
      </w:pPr>
      <w:r>
        <w:t xml:space="preserve">There are around </w:t>
      </w:r>
      <w:r w:rsidR="00263185">
        <w:t>9,800,000 households in Australia. T</w:t>
      </w:r>
      <w:r w:rsidR="000A12A3">
        <w:t>he ACCC estimates that each of these</w:t>
      </w:r>
      <w:r w:rsidR="000A12A3" w:rsidRPr="000A12A3">
        <w:t xml:space="preserve"> household</w:t>
      </w:r>
      <w:r w:rsidR="000A12A3">
        <w:t>s</w:t>
      </w:r>
      <w:r w:rsidR="000A12A3" w:rsidRPr="000A12A3">
        <w:t xml:space="preserve"> has at least 1 chest of drawers, 1 free-standing wardrobe and 1 shelving unit, with between 1 and 2 of these items duplicated in the household</w:t>
      </w:r>
      <w:r w:rsidR="00263185">
        <w:t xml:space="preserve"> and that around 10% is </w:t>
      </w:r>
      <w:r w:rsidR="0092078F">
        <w:t>replaced</w:t>
      </w:r>
      <w:r w:rsidR="00263185">
        <w:t xml:space="preserve"> per annum</w:t>
      </w:r>
      <w:r w:rsidR="000A12A3">
        <w:t xml:space="preserve">. </w:t>
      </w:r>
    </w:p>
    <w:p w14:paraId="59A7E2D0" w14:textId="7CA24EB0" w:rsidR="00A20C17" w:rsidRDefault="0092078F" w:rsidP="00ED2063">
      <w:pPr>
        <w:spacing w:before="120"/>
      </w:pPr>
      <w:r>
        <w:t>This equates to around 4,410,000 new items of furniture purchased each year. The total cost of injuries and deaths divided by the number of new furniture items is $1.87</w:t>
      </w:r>
      <w:r w:rsidR="00C371FD">
        <w:t xml:space="preserve"> which represents the current cost</w:t>
      </w:r>
      <w:r w:rsidR="009A1005">
        <w:t xml:space="preserve"> of deaths and injuries</w:t>
      </w:r>
      <w:r w:rsidR="00C371FD">
        <w:t xml:space="preserve"> per furniture item</w:t>
      </w:r>
      <w:r w:rsidR="009A1005">
        <w:t xml:space="preserve"> sold</w:t>
      </w:r>
      <w:r w:rsidR="00C371FD">
        <w:t>.</w:t>
      </w:r>
    </w:p>
    <w:p w14:paraId="49C756CB" w14:textId="314CAF8E" w:rsidR="00C33F2B" w:rsidRPr="00C33F2B" w:rsidRDefault="0076512A" w:rsidP="00ED2063">
      <w:pPr>
        <w:spacing w:before="120"/>
      </w:pPr>
      <w:r>
        <w:t>Table 9</w:t>
      </w:r>
      <w:r w:rsidR="00C33F2B">
        <w:t xml:space="preserve"> considers the </w:t>
      </w:r>
      <w:r w:rsidR="009A1005">
        <w:t>cost of intervention</w:t>
      </w:r>
      <w:r w:rsidR="00C33F2B">
        <w:t xml:space="preserve"> </w:t>
      </w:r>
      <w:r w:rsidR="009A1005">
        <w:t>based on the</w:t>
      </w:r>
      <w:r w:rsidR="00F71C6A">
        <w:t xml:space="preserve"> assumptions</w:t>
      </w:r>
      <w:r w:rsidR="009A1005">
        <w:t xml:space="preserve"> outlined above</w:t>
      </w:r>
      <w:r w:rsidR="00F71C6A">
        <w:t xml:space="preserve"> </w:t>
      </w:r>
      <w:r w:rsidR="00D60239">
        <w:t>linked to</w:t>
      </w:r>
      <w:r w:rsidR="00F71C6A">
        <w:t xml:space="preserve"> changes in injury and death resulting from regulation</w:t>
      </w:r>
    </w:p>
    <w:p w14:paraId="353EF66B" w14:textId="7B634B4C" w:rsidR="00D05688" w:rsidRDefault="00D05688" w:rsidP="00ED2063">
      <w:pPr>
        <w:spacing w:before="120"/>
      </w:pPr>
    </w:p>
    <w:p w14:paraId="38577A87" w14:textId="77777777" w:rsidR="002E17DD" w:rsidRDefault="00D05688" w:rsidP="002E17DD">
      <w:pPr>
        <w:spacing w:before="120"/>
      </w:pPr>
      <w:r>
        <w:rPr>
          <w:b/>
          <w:bCs/>
        </w:rPr>
        <w:t>Table 9: Sensitivity analysis</w:t>
      </w:r>
      <w:r w:rsidR="002E17DD">
        <w:rPr>
          <w:b/>
          <w:bCs/>
        </w:rPr>
        <w:t xml:space="preserve"> (x divided by y = z)</w:t>
      </w:r>
    </w:p>
    <w:tbl>
      <w:tblPr>
        <w:tblStyle w:val="GridTable1Light"/>
        <w:tblW w:w="10175" w:type="dxa"/>
        <w:tblLayout w:type="fixed"/>
        <w:tblLook w:val="04A0" w:firstRow="1" w:lastRow="0" w:firstColumn="1" w:lastColumn="0" w:noHBand="0" w:noVBand="1"/>
      </w:tblPr>
      <w:tblGrid>
        <w:gridCol w:w="2657"/>
        <w:gridCol w:w="1253"/>
        <w:gridCol w:w="1253"/>
        <w:gridCol w:w="1253"/>
        <w:gridCol w:w="1253"/>
        <w:gridCol w:w="1253"/>
        <w:gridCol w:w="1253"/>
      </w:tblGrid>
      <w:tr w:rsidR="001F4416" w:rsidRPr="00580C4B" w14:paraId="3F962DD9" w14:textId="77777777" w:rsidTr="007E743F">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2657" w:type="dxa"/>
            <w:noWrap/>
            <w:hideMark/>
          </w:tcPr>
          <w:p w14:paraId="34A1D419" w14:textId="77777777" w:rsidR="002E17DD" w:rsidRPr="0001634C" w:rsidRDefault="002E17DD" w:rsidP="002E17DD">
            <w:pPr>
              <w:pStyle w:val="Caption"/>
              <w:keepNext/>
              <w:jc w:val="center"/>
              <w:rPr>
                <w:b/>
                <w:bCs/>
                <w:sz w:val="20"/>
                <w:szCs w:val="14"/>
              </w:rPr>
            </w:pPr>
            <w:r w:rsidRPr="0001634C">
              <w:rPr>
                <w:sz w:val="20"/>
                <w:szCs w:val="14"/>
              </w:rPr>
              <w:t>Assumption</w:t>
            </w:r>
          </w:p>
        </w:tc>
        <w:tc>
          <w:tcPr>
            <w:tcW w:w="1253" w:type="dxa"/>
            <w:noWrap/>
            <w:hideMark/>
          </w:tcPr>
          <w:p w14:paraId="3F528CF6" w14:textId="77777777" w:rsidR="002E17DD" w:rsidRPr="0001634C" w:rsidRDefault="002E17DD" w:rsidP="002E17DD">
            <w:pPr>
              <w:pStyle w:val="Caption"/>
              <w:keepNext/>
              <w:jc w:val="center"/>
              <w:cnfStyle w:val="100000000000" w:firstRow="1" w:lastRow="0" w:firstColumn="0" w:lastColumn="0" w:oddVBand="0" w:evenVBand="0" w:oddHBand="0" w:evenHBand="0" w:firstRowFirstColumn="0" w:firstRowLastColumn="0" w:lastRowFirstColumn="0" w:lastRowLastColumn="0"/>
              <w:rPr>
                <w:b/>
                <w:bCs/>
                <w:sz w:val="20"/>
                <w:szCs w:val="14"/>
              </w:rPr>
            </w:pPr>
            <w:r w:rsidRPr="0001634C">
              <w:rPr>
                <w:sz w:val="20"/>
                <w:szCs w:val="14"/>
              </w:rPr>
              <w:t>Injuries after intervention</w:t>
            </w:r>
          </w:p>
        </w:tc>
        <w:tc>
          <w:tcPr>
            <w:tcW w:w="1253" w:type="dxa"/>
            <w:noWrap/>
            <w:hideMark/>
          </w:tcPr>
          <w:p w14:paraId="5CF696F4" w14:textId="77777777" w:rsidR="002E17DD" w:rsidRPr="0001634C" w:rsidRDefault="002E17DD" w:rsidP="002E17DD">
            <w:pPr>
              <w:pStyle w:val="Caption"/>
              <w:keepNext/>
              <w:jc w:val="center"/>
              <w:cnfStyle w:val="100000000000" w:firstRow="1" w:lastRow="0" w:firstColumn="0" w:lastColumn="0" w:oddVBand="0" w:evenVBand="0" w:oddHBand="0" w:evenHBand="0" w:firstRowFirstColumn="0" w:firstRowLastColumn="0" w:lastRowFirstColumn="0" w:lastRowLastColumn="0"/>
              <w:rPr>
                <w:b/>
                <w:bCs/>
                <w:sz w:val="20"/>
                <w:szCs w:val="14"/>
              </w:rPr>
            </w:pPr>
            <w:r w:rsidRPr="0001634C">
              <w:rPr>
                <w:sz w:val="20"/>
                <w:szCs w:val="14"/>
              </w:rPr>
              <w:t>Deaths after intervention</w:t>
            </w:r>
          </w:p>
        </w:tc>
        <w:tc>
          <w:tcPr>
            <w:tcW w:w="1253" w:type="dxa"/>
          </w:tcPr>
          <w:p w14:paraId="1B5FFDDF" w14:textId="22E013BF" w:rsidR="002E17DD" w:rsidRPr="0001634C" w:rsidRDefault="002E17DD" w:rsidP="002E17DD">
            <w:pPr>
              <w:pStyle w:val="Caption"/>
              <w:keepNext/>
              <w:jc w:val="center"/>
              <w:cnfStyle w:val="100000000000" w:firstRow="1" w:lastRow="0" w:firstColumn="0" w:lastColumn="0" w:oddVBand="0" w:evenVBand="0" w:oddHBand="0" w:evenHBand="0" w:firstRowFirstColumn="0" w:firstRowLastColumn="0" w:lastRowFirstColumn="0" w:lastRowLastColumn="0"/>
              <w:rPr>
                <w:sz w:val="20"/>
                <w:szCs w:val="14"/>
              </w:rPr>
            </w:pPr>
            <w:r>
              <w:rPr>
                <w:b/>
                <w:bCs/>
                <w:sz w:val="20"/>
                <w:szCs w:val="20"/>
              </w:rPr>
              <w:t xml:space="preserve">Total cost </w:t>
            </w:r>
            <w:r>
              <w:rPr>
                <w:sz w:val="20"/>
                <w:szCs w:val="20"/>
              </w:rPr>
              <w:t>(x)</w:t>
            </w:r>
          </w:p>
        </w:tc>
        <w:tc>
          <w:tcPr>
            <w:tcW w:w="1253" w:type="dxa"/>
          </w:tcPr>
          <w:p w14:paraId="6D52E0FD" w14:textId="09623CC5" w:rsidR="002E17DD" w:rsidRPr="0001634C" w:rsidRDefault="002E17DD" w:rsidP="002E17DD">
            <w:pPr>
              <w:pStyle w:val="Caption"/>
              <w:keepNext/>
              <w:jc w:val="center"/>
              <w:cnfStyle w:val="100000000000" w:firstRow="1" w:lastRow="0" w:firstColumn="0" w:lastColumn="0" w:oddVBand="0" w:evenVBand="0" w:oddHBand="0" w:evenHBand="0" w:firstRowFirstColumn="0" w:firstRowLastColumn="0" w:lastRowFirstColumn="0" w:lastRowLastColumn="0"/>
              <w:rPr>
                <w:sz w:val="20"/>
                <w:szCs w:val="14"/>
              </w:rPr>
            </w:pPr>
            <w:r>
              <w:rPr>
                <w:b/>
                <w:bCs/>
                <w:sz w:val="20"/>
                <w:szCs w:val="20"/>
              </w:rPr>
              <w:t xml:space="preserve">New furniture items </w:t>
            </w:r>
            <w:r>
              <w:rPr>
                <w:sz w:val="20"/>
                <w:szCs w:val="20"/>
              </w:rPr>
              <w:t>(y)</w:t>
            </w:r>
          </w:p>
        </w:tc>
        <w:tc>
          <w:tcPr>
            <w:tcW w:w="1253" w:type="dxa"/>
            <w:noWrap/>
            <w:hideMark/>
          </w:tcPr>
          <w:p w14:paraId="7B09E375" w14:textId="6697361A" w:rsidR="002E17DD" w:rsidRPr="0001634C" w:rsidRDefault="002E17DD" w:rsidP="002E17DD">
            <w:pPr>
              <w:pStyle w:val="Caption"/>
              <w:keepNext/>
              <w:jc w:val="center"/>
              <w:cnfStyle w:val="100000000000" w:firstRow="1" w:lastRow="0" w:firstColumn="0" w:lastColumn="0" w:oddVBand="0" w:evenVBand="0" w:oddHBand="0" w:evenHBand="0" w:firstRowFirstColumn="0" w:firstRowLastColumn="0" w:lastRowFirstColumn="0" w:lastRowLastColumn="0"/>
              <w:rPr>
                <w:b/>
                <w:bCs/>
                <w:sz w:val="20"/>
                <w:szCs w:val="14"/>
              </w:rPr>
            </w:pPr>
            <w:r>
              <w:rPr>
                <w:b/>
                <w:bCs/>
                <w:sz w:val="20"/>
                <w:szCs w:val="20"/>
              </w:rPr>
              <w:t xml:space="preserve">Cost per item of furniture </w:t>
            </w:r>
            <w:r>
              <w:rPr>
                <w:sz w:val="20"/>
                <w:szCs w:val="20"/>
              </w:rPr>
              <w:t>(z)</w:t>
            </w:r>
            <w:r>
              <w:rPr>
                <w:b/>
                <w:bCs/>
                <w:sz w:val="20"/>
                <w:szCs w:val="20"/>
              </w:rPr>
              <w:t xml:space="preserve"> </w:t>
            </w:r>
          </w:p>
        </w:tc>
        <w:tc>
          <w:tcPr>
            <w:tcW w:w="1253" w:type="dxa"/>
            <w:noWrap/>
            <w:hideMark/>
          </w:tcPr>
          <w:p w14:paraId="4567F105" w14:textId="638C2BE3" w:rsidR="002E17DD" w:rsidRPr="0001634C" w:rsidRDefault="002E17DD" w:rsidP="002E17DD">
            <w:pPr>
              <w:pStyle w:val="Caption"/>
              <w:keepNext/>
              <w:jc w:val="center"/>
              <w:cnfStyle w:val="100000000000" w:firstRow="1" w:lastRow="0" w:firstColumn="0" w:lastColumn="0" w:oddVBand="0" w:evenVBand="0" w:oddHBand="0" w:evenHBand="0" w:firstRowFirstColumn="0" w:firstRowLastColumn="0" w:lastRowFirstColumn="0" w:lastRowLastColumn="0"/>
              <w:rPr>
                <w:b/>
                <w:bCs/>
                <w:sz w:val="20"/>
                <w:szCs w:val="14"/>
              </w:rPr>
            </w:pPr>
            <w:r w:rsidRPr="0001634C">
              <w:rPr>
                <w:sz w:val="20"/>
                <w:szCs w:val="14"/>
              </w:rPr>
              <w:t xml:space="preserve">Change </w:t>
            </w:r>
            <w:r w:rsidRPr="0083515B">
              <w:rPr>
                <w:sz w:val="20"/>
                <w:szCs w:val="14"/>
              </w:rPr>
              <w:t>(</w:t>
            </w:r>
            <w:r w:rsidRPr="00DE62FE">
              <w:rPr>
                <w:sz w:val="20"/>
                <w:szCs w:val="14"/>
              </w:rPr>
              <w:t>b</w:t>
            </w:r>
            <w:r w:rsidRPr="0083515B">
              <w:rPr>
                <w:sz w:val="20"/>
                <w:szCs w:val="14"/>
              </w:rPr>
              <w:t>enefit</w:t>
            </w:r>
            <w:r w:rsidRPr="0001634C">
              <w:rPr>
                <w:sz w:val="20"/>
                <w:szCs w:val="14"/>
              </w:rPr>
              <w:t>)</w:t>
            </w:r>
          </w:p>
        </w:tc>
      </w:tr>
      <w:tr w:rsidR="001F4416" w:rsidRPr="00580C4B" w14:paraId="0141ADB0" w14:textId="77777777" w:rsidTr="007E743F">
        <w:trPr>
          <w:trHeight w:val="166"/>
        </w:trPr>
        <w:tc>
          <w:tcPr>
            <w:cnfStyle w:val="001000000000" w:firstRow="0" w:lastRow="0" w:firstColumn="1" w:lastColumn="0" w:oddVBand="0" w:evenVBand="0" w:oddHBand="0" w:evenHBand="0" w:firstRowFirstColumn="0" w:firstRowLastColumn="0" w:lastRowFirstColumn="0" w:lastRowLastColumn="0"/>
            <w:tcW w:w="2657" w:type="dxa"/>
            <w:noWrap/>
          </w:tcPr>
          <w:p w14:paraId="7F69C049" w14:textId="77777777" w:rsidR="002E17DD" w:rsidRPr="0001634C" w:rsidRDefault="002E17DD" w:rsidP="002E17DD">
            <w:pPr>
              <w:pStyle w:val="Caption"/>
              <w:keepNext/>
              <w:rPr>
                <w:sz w:val="20"/>
                <w:szCs w:val="14"/>
              </w:rPr>
            </w:pPr>
            <w:r w:rsidRPr="0001634C">
              <w:rPr>
                <w:sz w:val="20"/>
                <w:szCs w:val="14"/>
              </w:rPr>
              <w:t>0% fewer deaths 5% fewer injuries</w:t>
            </w:r>
          </w:p>
        </w:tc>
        <w:tc>
          <w:tcPr>
            <w:tcW w:w="1253" w:type="dxa"/>
            <w:noWrap/>
          </w:tcPr>
          <w:p w14:paraId="1702A449" w14:textId="77777777" w:rsidR="002E17DD" w:rsidRPr="0001634C"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sidRPr="0001634C">
              <w:rPr>
                <w:b w:val="0"/>
                <w:bCs w:val="0"/>
                <w:sz w:val="20"/>
                <w:szCs w:val="14"/>
              </w:rPr>
              <w:t>950</w:t>
            </w:r>
          </w:p>
        </w:tc>
        <w:tc>
          <w:tcPr>
            <w:tcW w:w="1253" w:type="dxa"/>
            <w:noWrap/>
          </w:tcPr>
          <w:p w14:paraId="5B65506C" w14:textId="77777777" w:rsidR="002E17DD" w:rsidRPr="0001634C"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sidRPr="0001634C">
              <w:rPr>
                <w:b w:val="0"/>
                <w:bCs w:val="0"/>
                <w:sz w:val="20"/>
                <w:szCs w:val="14"/>
              </w:rPr>
              <w:t>1.5</w:t>
            </w:r>
          </w:p>
        </w:tc>
        <w:tc>
          <w:tcPr>
            <w:tcW w:w="1253" w:type="dxa"/>
          </w:tcPr>
          <w:p w14:paraId="75947463" w14:textId="65F95F28" w:rsidR="002E17DD" w:rsidRPr="0001634C" w:rsidRDefault="00F30408"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Pr>
                <w:b w:val="0"/>
                <w:bCs w:val="0"/>
                <w:sz w:val="20"/>
                <w:szCs w:val="14"/>
              </w:rPr>
              <w:t>8,212,500</w:t>
            </w:r>
          </w:p>
        </w:tc>
        <w:tc>
          <w:tcPr>
            <w:tcW w:w="1253" w:type="dxa"/>
          </w:tcPr>
          <w:p w14:paraId="31172859" w14:textId="4AD2C33F" w:rsidR="002E17DD" w:rsidRPr="0001634C"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Pr>
                <w:b w:val="0"/>
                <w:bCs w:val="0"/>
                <w:sz w:val="20"/>
                <w:szCs w:val="20"/>
              </w:rPr>
              <w:t xml:space="preserve">4,410,000 </w:t>
            </w:r>
          </w:p>
        </w:tc>
        <w:tc>
          <w:tcPr>
            <w:tcW w:w="1253" w:type="dxa"/>
            <w:noWrap/>
          </w:tcPr>
          <w:p w14:paraId="58CB1926" w14:textId="65F7B59F" w:rsidR="002E17DD" w:rsidRPr="0001634C"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Pr>
                <w:b w:val="0"/>
                <w:bCs w:val="0"/>
                <w:sz w:val="20"/>
                <w:szCs w:val="20"/>
              </w:rPr>
              <w:t>$ 1.86</w:t>
            </w:r>
          </w:p>
        </w:tc>
        <w:tc>
          <w:tcPr>
            <w:tcW w:w="1253" w:type="dxa"/>
            <w:noWrap/>
          </w:tcPr>
          <w:p w14:paraId="02909F73" w14:textId="77777777" w:rsidR="002E17DD" w:rsidRPr="0001634C"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sidRPr="0001634C">
              <w:rPr>
                <w:b w:val="0"/>
                <w:bCs w:val="0"/>
                <w:sz w:val="20"/>
                <w:szCs w:val="14"/>
              </w:rPr>
              <w:t>$ 0.01</w:t>
            </w:r>
          </w:p>
        </w:tc>
      </w:tr>
      <w:tr w:rsidR="001F4416" w:rsidRPr="00580C4B" w14:paraId="512371EE" w14:textId="77777777" w:rsidTr="007E743F">
        <w:trPr>
          <w:trHeight w:val="166"/>
        </w:trPr>
        <w:tc>
          <w:tcPr>
            <w:cnfStyle w:val="001000000000" w:firstRow="0" w:lastRow="0" w:firstColumn="1" w:lastColumn="0" w:oddVBand="0" w:evenVBand="0" w:oddHBand="0" w:evenHBand="0" w:firstRowFirstColumn="0" w:firstRowLastColumn="0" w:lastRowFirstColumn="0" w:lastRowLastColumn="0"/>
            <w:tcW w:w="2657" w:type="dxa"/>
            <w:noWrap/>
          </w:tcPr>
          <w:p w14:paraId="4FB0E12D" w14:textId="77777777" w:rsidR="002E17DD" w:rsidRPr="0001634C" w:rsidRDefault="002E17DD" w:rsidP="002E17DD">
            <w:pPr>
              <w:pStyle w:val="Caption"/>
              <w:keepNext/>
              <w:rPr>
                <w:sz w:val="20"/>
                <w:szCs w:val="14"/>
              </w:rPr>
            </w:pPr>
            <w:r w:rsidRPr="0001634C">
              <w:rPr>
                <w:sz w:val="20"/>
                <w:szCs w:val="14"/>
              </w:rPr>
              <w:t>5% fewer deaths 10% fewer injuries</w:t>
            </w:r>
          </w:p>
        </w:tc>
        <w:tc>
          <w:tcPr>
            <w:tcW w:w="1253" w:type="dxa"/>
            <w:noWrap/>
          </w:tcPr>
          <w:p w14:paraId="4FBB5A93" w14:textId="77777777" w:rsidR="002E17DD" w:rsidRPr="0001634C"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sidRPr="0001634C">
              <w:rPr>
                <w:b w:val="0"/>
                <w:bCs w:val="0"/>
                <w:sz w:val="20"/>
                <w:szCs w:val="14"/>
              </w:rPr>
              <w:t>900</w:t>
            </w:r>
          </w:p>
        </w:tc>
        <w:tc>
          <w:tcPr>
            <w:tcW w:w="1253" w:type="dxa"/>
            <w:noWrap/>
          </w:tcPr>
          <w:p w14:paraId="618EA153" w14:textId="6AFF8933" w:rsidR="002E17DD" w:rsidRPr="0001634C"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Pr>
                <w:b w:val="0"/>
                <w:bCs w:val="0"/>
                <w:sz w:val="20"/>
                <w:szCs w:val="14"/>
              </w:rPr>
              <w:t>1.425</w:t>
            </w:r>
          </w:p>
        </w:tc>
        <w:tc>
          <w:tcPr>
            <w:tcW w:w="1253" w:type="dxa"/>
          </w:tcPr>
          <w:p w14:paraId="095B8115" w14:textId="28EEC240" w:rsidR="002E17DD" w:rsidRPr="0001634C" w:rsidRDefault="00F30408"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Pr>
                <w:b w:val="0"/>
                <w:bCs w:val="0"/>
                <w:sz w:val="20"/>
                <w:szCs w:val="14"/>
              </w:rPr>
              <w:t>7,800,000</w:t>
            </w:r>
          </w:p>
        </w:tc>
        <w:tc>
          <w:tcPr>
            <w:tcW w:w="1253" w:type="dxa"/>
          </w:tcPr>
          <w:p w14:paraId="528CE03C" w14:textId="04BCE58B" w:rsidR="002E17DD" w:rsidRPr="0001634C"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Pr>
                <w:b w:val="0"/>
                <w:bCs w:val="0"/>
                <w:sz w:val="20"/>
                <w:szCs w:val="20"/>
              </w:rPr>
              <w:t xml:space="preserve">4,410,000 </w:t>
            </w:r>
          </w:p>
        </w:tc>
        <w:tc>
          <w:tcPr>
            <w:tcW w:w="1253" w:type="dxa"/>
            <w:noWrap/>
          </w:tcPr>
          <w:p w14:paraId="37CFEAE2" w14:textId="683F4DB4" w:rsidR="002E17DD" w:rsidRPr="0001634C"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Pr>
                <w:b w:val="0"/>
                <w:bCs w:val="0"/>
                <w:sz w:val="20"/>
                <w:szCs w:val="20"/>
              </w:rPr>
              <w:t>$ 1.77</w:t>
            </w:r>
          </w:p>
        </w:tc>
        <w:tc>
          <w:tcPr>
            <w:tcW w:w="1253" w:type="dxa"/>
            <w:noWrap/>
          </w:tcPr>
          <w:p w14:paraId="3E72B200" w14:textId="77777777" w:rsidR="002E17DD" w:rsidRPr="0001634C"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sidRPr="0001634C">
              <w:rPr>
                <w:b w:val="0"/>
                <w:bCs w:val="0"/>
                <w:sz w:val="20"/>
                <w:szCs w:val="14"/>
              </w:rPr>
              <w:t>$ 0.10</w:t>
            </w:r>
          </w:p>
        </w:tc>
      </w:tr>
      <w:tr w:rsidR="001F4416" w:rsidRPr="00580C4B" w14:paraId="5DBD3353" w14:textId="77777777" w:rsidTr="007E743F">
        <w:trPr>
          <w:trHeight w:val="166"/>
        </w:trPr>
        <w:tc>
          <w:tcPr>
            <w:cnfStyle w:val="001000000000" w:firstRow="0" w:lastRow="0" w:firstColumn="1" w:lastColumn="0" w:oddVBand="0" w:evenVBand="0" w:oddHBand="0" w:evenHBand="0" w:firstRowFirstColumn="0" w:firstRowLastColumn="0" w:lastRowFirstColumn="0" w:lastRowLastColumn="0"/>
            <w:tcW w:w="2657" w:type="dxa"/>
            <w:noWrap/>
            <w:hideMark/>
          </w:tcPr>
          <w:p w14:paraId="57D69FAF" w14:textId="77777777" w:rsidR="002E17DD" w:rsidRPr="0001634C" w:rsidRDefault="002E17DD" w:rsidP="002E17DD">
            <w:pPr>
              <w:pStyle w:val="Caption"/>
              <w:keepNext/>
              <w:rPr>
                <w:sz w:val="20"/>
                <w:szCs w:val="14"/>
              </w:rPr>
            </w:pPr>
            <w:r w:rsidRPr="0001634C">
              <w:rPr>
                <w:sz w:val="20"/>
                <w:szCs w:val="14"/>
              </w:rPr>
              <w:t xml:space="preserve">10% fewer deaths  15% fewer injuries </w:t>
            </w:r>
          </w:p>
        </w:tc>
        <w:tc>
          <w:tcPr>
            <w:tcW w:w="1253" w:type="dxa"/>
            <w:noWrap/>
            <w:hideMark/>
          </w:tcPr>
          <w:p w14:paraId="5FB8EFD0" w14:textId="77777777" w:rsidR="002E17DD" w:rsidRPr="0001634C"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sidRPr="0001634C">
              <w:rPr>
                <w:b w:val="0"/>
                <w:bCs w:val="0"/>
                <w:sz w:val="20"/>
                <w:szCs w:val="14"/>
              </w:rPr>
              <w:t>850</w:t>
            </w:r>
          </w:p>
        </w:tc>
        <w:tc>
          <w:tcPr>
            <w:tcW w:w="1253" w:type="dxa"/>
            <w:noWrap/>
            <w:hideMark/>
          </w:tcPr>
          <w:p w14:paraId="54D4E656" w14:textId="77777777" w:rsidR="002E17DD" w:rsidRPr="0001634C"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sidRPr="0001634C">
              <w:rPr>
                <w:b w:val="0"/>
                <w:bCs w:val="0"/>
                <w:sz w:val="20"/>
                <w:szCs w:val="14"/>
              </w:rPr>
              <w:t>1.35</w:t>
            </w:r>
          </w:p>
        </w:tc>
        <w:tc>
          <w:tcPr>
            <w:tcW w:w="1253" w:type="dxa"/>
          </w:tcPr>
          <w:p w14:paraId="72DE3BCB" w14:textId="1254E988" w:rsidR="002E17DD" w:rsidRPr="0001634C" w:rsidRDefault="00F30408"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Pr>
                <w:b w:val="0"/>
                <w:bCs w:val="0"/>
                <w:sz w:val="20"/>
                <w:szCs w:val="14"/>
              </w:rPr>
              <w:t>7,387,500</w:t>
            </w:r>
          </w:p>
        </w:tc>
        <w:tc>
          <w:tcPr>
            <w:tcW w:w="1253" w:type="dxa"/>
          </w:tcPr>
          <w:p w14:paraId="20DDA6B1" w14:textId="004B3A76" w:rsidR="002E17DD" w:rsidRPr="0001634C"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Pr>
                <w:b w:val="0"/>
                <w:bCs w:val="0"/>
                <w:sz w:val="20"/>
                <w:szCs w:val="20"/>
              </w:rPr>
              <w:t xml:space="preserve">4,410,000 </w:t>
            </w:r>
          </w:p>
        </w:tc>
        <w:tc>
          <w:tcPr>
            <w:tcW w:w="1253" w:type="dxa"/>
            <w:noWrap/>
            <w:hideMark/>
          </w:tcPr>
          <w:p w14:paraId="0695610A" w14:textId="5F94ED0C" w:rsidR="002E17DD" w:rsidRPr="0001634C"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Pr>
                <w:b w:val="0"/>
                <w:bCs w:val="0"/>
                <w:sz w:val="20"/>
                <w:szCs w:val="20"/>
              </w:rPr>
              <w:t xml:space="preserve"> $ 1.68 </w:t>
            </w:r>
          </w:p>
        </w:tc>
        <w:tc>
          <w:tcPr>
            <w:tcW w:w="1253" w:type="dxa"/>
            <w:noWrap/>
            <w:hideMark/>
          </w:tcPr>
          <w:p w14:paraId="2BB87069" w14:textId="77777777" w:rsidR="002E17DD" w:rsidRPr="0001634C"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sidRPr="0001634C">
              <w:rPr>
                <w:b w:val="0"/>
                <w:bCs w:val="0"/>
                <w:sz w:val="20"/>
                <w:szCs w:val="14"/>
              </w:rPr>
              <w:t xml:space="preserve"> $ 0.20 </w:t>
            </w:r>
          </w:p>
        </w:tc>
      </w:tr>
      <w:tr w:rsidR="001F4416" w:rsidRPr="00580C4B" w14:paraId="10E8B766" w14:textId="77777777" w:rsidTr="007E743F">
        <w:trPr>
          <w:trHeight w:val="166"/>
        </w:trPr>
        <w:tc>
          <w:tcPr>
            <w:cnfStyle w:val="001000000000" w:firstRow="0" w:lastRow="0" w:firstColumn="1" w:lastColumn="0" w:oddVBand="0" w:evenVBand="0" w:oddHBand="0" w:evenHBand="0" w:firstRowFirstColumn="0" w:firstRowLastColumn="0" w:lastRowFirstColumn="0" w:lastRowLastColumn="0"/>
            <w:tcW w:w="2657" w:type="dxa"/>
            <w:noWrap/>
            <w:hideMark/>
          </w:tcPr>
          <w:p w14:paraId="3E66E66C" w14:textId="77777777" w:rsidR="002E17DD" w:rsidRPr="0001634C" w:rsidRDefault="002E17DD" w:rsidP="002E17DD">
            <w:pPr>
              <w:pStyle w:val="Caption"/>
              <w:keepNext/>
              <w:rPr>
                <w:sz w:val="20"/>
                <w:szCs w:val="14"/>
              </w:rPr>
            </w:pPr>
            <w:r w:rsidRPr="0001634C">
              <w:rPr>
                <w:sz w:val="20"/>
                <w:szCs w:val="14"/>
              </w:rPr>
              <w:t xml:space="preserve">20% fewer deaths 30%  fewer injuries </w:t>
            </w:r>
          </w:p>
        </w:tc>
        <w:tc>
          <w:tcPr>
            <w:tcW w:w="1253" w:type="dxa"/>
            <w:noWrap/>
            <w:hideMark/>
          </w:tcPr>
          <w:p w14:paraId="0CA28CF6" w14:textId="77777777" w:rsidR="002E17DD" w:rsidRPr="0001634C"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sidRPr="0001634C">
              <w:rPr>
                <w:b w:val="0"/>
                <w:bCs w:val="0"/>
                <w:sz w:val="20"/>
                <w:szCs w:val="14"/>
              </w:rPr>
              <w:t>700</w:t>
            </w:r>
          </w:p>
        </w:tc>
        <w:tc>
          <w:tcPr>
            <w:tcW w:w="1253" w:type="dxa"/>
            <w:noWrap/>
            <w:hideMark/>
          </w:tcPr>
          <w:p w14:paraId="53067708" w14:textId="77777777" w:rsidR="002E17DD" w:rsidRPr="0001634C"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sidRPr="0001634C">
              <w:rPr>
                <w:b w:val="0"/>
                <w:bCs w:val="0"/>
                <w:sz w:val="20"/>
                <w:szCs w:val="14"/>
              </w:rPr>
              <w:t>1.2</w:t>
            </w:r>
          </w:p>
        </w:tc>
        <w:tc>
          <w:tcPr>
            <w:tcW w:w="1253" w:type="dxa"/>
          </w:tcPr>
          <w:p w14:paraId="30FEA3F5" w14:textId="5E82A61C" w:rsidR="002E17DD" w:rsidRPr="0001634C" w:rsidRDefault="00A56B71"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Pr>
                <w:b w:val="0"/>
                <w:bCs w:val="0"/>
                <w:sz w:val="20"/>
                <w:szCs w:val="14"/>
              </w:rPr>
              <w:t>6,525,000</w:t>
            </w:r>
          </w:p>
        </w:tc>
        <w:tc>
          <w:tcPr>
            <w:tcW w:w="1253" w:type="dxa"/>
          </w:tcPr>
          <w:p w14:paraId="1A0AB137" w14:textId="3F88B47B" w:rsidR="002E17DD" w:rsidRPr="0001634C"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Pr>
                <w:b w:val="0"/>
                <w:bCs w:val="0"/>
                <w:sz w:val="20"/>
                <w:szCs w:val="20"/>
              </w:rPr>
              <w:t xml:space="preserve">4,410,000 </w:t>
            </w:r>
          </w:p>
        </w:tc>
        <w:tc>
          <w:tcPr>
            <w:tcW w:w="1253" w:type="dxa"/>
            <w:noWrap/>
            <w:hideMark/>
          </w:tcPr>
          <w:p w14:paraId="3A115A8E" w14:textId="6F56CC75" w:rsidR="002E17DD" w:rsidRPr="0001634C"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Pr>
                <w:b w:val="0"/>
                <w:bCs w:val="0"/>
                <w:sz w:val="20"/>
                <w:szCs w:val="20"/>
              </w:rPr>
              <w:t xml:space="preserve">$ 1.48 </w:t>
            </w:r>
          </w:p>
        </w:tc>
        <w:tc>
          <w:tcPr>
            <w:tcW w:w="1253" w:type="dxa"/>
            <w:noWrap/>
            <w:hideMark/>
          </w:tcPr>
          <w:p w14:paraId="46CBBB99" w14:textId="77777777" w:rsidR="002E17DD" w:rsidRPr="0001634C"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sidRPr="0001634C">
              <w:rPr>
                <w:b w:val="0"/>
                <w:bCs w:val="0"/>
                <w:sz w:val="20"/>
                <w:szCs w:val="14"/>
              </w:rPr>
              <w:t xml:space="preserve"> $ 0.39 </w:t>
            </w:r>
          </w:p>
        </w:tc>
      </w:tr>
      <w:tr w:rsidR="001F4416" w:rsidRPr="00580C4B" w14:paraId="7CEE5ACC" w14:textId="77777777" w:rsidTr="007E743F">
        <w:trPr>
          <w:trHeight w:val="166"/>
        </w:trPr>
        <w:tc>
          <w:tcPr>
            <w:cnfStyle w:val="001000000000" w:firstRow="0" w:lastRow="0" w:firstColumn="1" w:lastColumn="0" w:oddVBand="0" w:evenVBand="0" w:oddHBand="0" w:evenHBand="0" w:firstRowFirstColumn="0" w:firstRowLastColumn="0" w:lastRowFirstColumn="0" w:lastRowLastColumn="0"/>
            <w:tcW w:w="2657" w:type="dxa"/>
            <w:noWrap/>
            <w:hideMark/>
          </w:tcPr>
          <w:p w14:paraId="4AD07D3A" w14:textId="2594164E" w:rsidR="002E17DD" w:rsidRPr="00012776" w:rsidRDefault="002E17DD" w:rsidP="002E17DD">
            <w:pPr>
              <w:pStyle w:val="Caption"/>
              <w:keepNext/>
              <w:rPr>
                <w:b/>
                <w:bCs/>
                <w:sz w:val="20"/>
                <w:szCs w:val="14"/>
              </w:rPr>
            </w:pPr>
            <w:r w:rsidRPr="00012776">
              <w:rPr>
                <w:sz w:val="20"/>
                <w:szCs w:val="14"/>
              </w:rPr>
              <w:t>30% fewer deaths 50% fewer injuries</w:t>
            </w:r>
            <w:r>
              <w:rPr>
                <w:b/>
                <w:bCs/>
                <w:sz w:val="20"/>
                <w:szCs w:val="14"/>
              </w:rPr>
              <w:t xml:space="preserve"> </w:t>
            </w:r>
          </w:p>
        </w:tc>
        <w:tc>
          <w:tcPr>
            <w:tcW w:w="1253" w:type="dxa"/>
            <w:noWrap/>
            <w:hideMark/>
          </w:tcPr>
          <w:p w14:paraId="3B60E440" w14:textId="77777777" w:rsidR="002E17DD" w:rsidRPr="007E743F"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sidRPr="007E743F">
              <w:rPr>
                <w:b w:val="0"/>
                <w:bCs w:val="0"/>
                <w:sz w:val="20"/>
                <w:szCs w:val="14"/>
              </w:rPr>
              <w:t>500</w:t>
            </w:r>
          </w:p>
        </w:tc>
        <w:tc>
          <w:tcPr>
            <w:tcW w:w="1253" w:type="dxa"/>
            <w:noWrap/>
            <w:hideMark/>
          </w:tcPr>
          <w:p w14:paraId="0F213E59" w14:textId="77777777" w:rsidR="002E17DD" w:rsidRPr="007E743F"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sidRPr="007E743F">
              <w:rPr>
                <w:b w:val="0"/>
                <w:bCs w:val="0"/>
                <w:sz w:val="20"/>
                <w:szCs w:val="14"/>
              </w:rPr>
              <w:t>1.05</w:t>
            </w:r>
          </w:p>
        </w:tc>
        <w:tc>
          <w:tcPr>
            <w:tcW w:w="1253" w:type="dxa"/>
          </w:tcPr>
          <w:p w14:paraId="67FC3BDC" w14:textId="16FD42BF" w:rsidR="002E17DD" w:rsidRPr="002E17DD"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Pr>
                <w:b w:val="0"/>
                <w:bCs w:val="0"/>
                <w:sz w:val="20"/>
                <w:szCs w:val="20"/>
              </w:rPr>
              <w:t>5,625,000</w:t>
            </w:r>
          </w:p>
        </w:tc>
        <w:tc>
          <w:tcPr>
            <w:tcW w:w="1253" w:type="dxa"/>
          </w:tcPr>
          <w:p w14:paraId="742D1930" w14:textId="0CF656AE" w:rsidR="002E17DD" w:rsidRPr="002E17DD"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Pr>
                <w:b w:val="0"/>
                <w:bCs w:val="0"/>
                <w:sz w:val="20"/>
                <w:szCs w:val="20"/>
              </w:rPr>
              <w:t xml:space="preserve">4,410,000 </w:t>
            </w:r>
          </w:p>
        </w:tc>
        <w:tc>
          <w:tcPr>
            <w:tcW w:w="1253" w:type="dxa"/>
            <w:noWrap/>
            <w:hideMark/>
          </w:tcPr>
          <w:p w14:paraId="0961A0AC" w14:textId="6FEEA24E" w:rsidR="002E17DD" w:rsidRPr="00B64F3F"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Pr>
                <w:b w:val="0"/>
                <w:bCs w:val="0"/>
                <w:sz w:val="20"/>
                <w:szCs w:val="20"/>
              </w:rPr>
              <w:t xml:space="preserve"> $ 1.28 </w:t>
            </w:r>
          </w:p>
        </w:tc>
        <w:tc>
          <w:tcPr>
            <w:tcW w:w="1253" w:type="dxa"/>
            <w:noWrap/>
            <w:hideMark/>
          </w:tcPr>
          <w:p w14:paraId="015D8CC7" w14:textId="77777777" w:rsidR="002E17DD" w:rsidRPr="00B64F3F"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sidRPr="00B64F3F">
              <w:rPr>
                <w:b w:val="0"/>
                <w:bCs w:val="0"/>
                <w:sz w:val="20"/>
                <w:szCs w:val="14"/>
              </w:rPr>
              <w:t xml:space="preserve"> $ 0.60 </w:t>
            </w:r>
          </w:p>
        </w:tc>
      </w:tr>
      <w:tr w:rsidR="001F4416" w:rsidRPr="00580C4B" w14:paraId="22BC3C51" w14:textId="77777777" w:rsidTr="007E743F">
        <w:trPr>
          <w:trHeight w:val="166"/>
        </w:trPr>
        <w:tc>
          <w:tcPr>
            <w:cnfStyle w:val="001000000000" w:firstRow="0" w:lastRow="0" w:firstColumn="1" w:lastColumn="0" w:oddVBand="0" w:evenVBand="0" w:oddHBand="0" w:evenHBand="0" w:firstRowFirstColumn="0" w:firstRowLastColumn="0" w:lastRowFirstColumn="0" w:lastRowLastColumn="0"/>
            <w:tcW w:w="2657" w:type="dxa"/>
            <w:noWrap/>
          </w:tcPr>
          <w:p w14:paraId="5F1E4044" w14:textId="77777777" w:rsidR="002E17DD" w:rsidRPr="0001634C" w:rsidRDefault="002E17DD" w:rsidP="002E17DD">
            <w:pPr>
              <w:pStyle w:val="Caption"/>
              <w:keepNext/>
              <w:rPr>
                <w:sz w:val="20"/>
                <w:szCs w:val="14"/>
                <w:highlight w:val="yellow"/>
              </w:rPr>
            </w:pPr>
            <w:r w:rsidRPr="0001634C">
              <w:rPr>
                <w:sz w:val="20"/>
                <w:szCs w:val="14"/>
              </w:rPr>
              <w:t>40% fewer deaths 70% fewer injuries</w:t>
            </w:r>
          </w:p>
        </w:tc>
        <w:tc>
          <w:tcPr>
            <w:tcW w:w="1253" w:type="dxa"/>
            <w:noWrap/>
          </w:tcPr>
          <w:p w14:paraId="26945555" w14:textId="77777777" w:rsidR="002E17DD" w:rsidRPr="0001634C"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sidRPr="0001634C">
              <w:rPr>
                <w:b w:val="0"/>
                <w:bCs w:val="0"/>
                <w:sz w:val="20"/>
                <w:szCs w:val="14"/>
              </w:rPr>
              <w:t>300</w:t>
            </w:r>
          </w:p>
        </w:tc>
        <w:tc>
          <w:tcPr>
            <w:tcW w:w="1253" w:type="dxa"/>
            <w:noWrap/>
          </w:tcPr>
          <w:p w14:paraId="239A758C" w14:textId="77777777" w:rsidR="002E17DD" w:rsidRPr="0001634C"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sidRPr="0001634C">
              <w:rPr>
                <w:b w:val="0"/>
                <w:bCs w:val="0"/>
                <w:sz w:val="20"/>
                <w:szCs w:val="14"/>
              </w:rPr>
              <w:t>0.9</w:t>
            </w:r>
          </w:p>
        </w:tc>
        <w:tc>
          <w:tcPr>
            <w:tcW w:w="1253" w:type="dxa"/>
          </w:tcPr>
          <w:p w14:paraId="2A629F85" w14:textId="2585DCF9" w:rsidR="002E17DD" w:rsidRPr="0001634C" w:rsidRDefault="00A56B71"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Pr>
                <w:b w:val="0"/>
                <w:bCs w:val="0"/>
                <w:sz w:val="20"/>
                <w:szCs w:val="14"/>
              </w:rPr>
              <w:t>4,725,000</w:t>
            </w:r>
          </w:p>
        </w:tc>
        <w:tc>
          <w:tcPr>
            <w:tcW w:w="1253" w:type="dxa"/>
          </w:tcPr>
          <w:p w14:paraId="1BB2C6EA" w14:textId="693D6E7A" w:rsidR="002E17DD" w:rsidRPr="0001634C"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Pr>
                <w:b w:val="0"/>
                <w:bCs w:val="0"/>
                <w:sz w:val="20"/>
                <w:szCs w:val="20"/>
              </w:rPr>
              <w:t xml:space="preserve">4,410,000 </w:t>
            </w:r>
          </w:p>
        </w:tc>
        <w:tc>
          <w:tcPr>
            <w:tcW w:w="1253" w:type="dxa"/>
            <w:noWrap/>
          </w:tcPr>
          <w:p w14:paraId="779C4343" w14:textId="30D589A4" w:rsidR="002E17DD" w:rsidRPr="0001634C"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Pr>
                <w:b w:val="0"/>
                <w:bCs w:val="0"/>
                <w:sz w:val="20"/>
                <w:szCs w:val="20"/>
              </w:rPr>
              <w:t>$ 1.07</w:t>
            </w:r>
          </w:p>
        </w:tc>
        <w:tc>
          <w:tcPr>
            <w:tcW w:w="1253" w:type="dxa"/>
            <w:noWrap/>
          </w:tcPr>
          <w:p w14:paraId="40CD6583" w14:textId="77777777" w:rsidR="002E17DD" w:rsidRPr="0001634C" w:rsidRDefault="002E17DD" w:rsidP="002E17DD">
            <w:pPr>
              <w:pStyle w:val="Caption"/>
              <w:keepNext/>
              <w:jc w:val="right"/>
              <w:cnfStyle w:val="000000000000" w:firstRow="0" w:lastRow="0" w:firstColumn="0" w:lastColumn="0" w:oddVBand="0" w:evenVBand="0" w:oddHBand="0" w:evenHBand="0" w:firstRowFirstColumn="0" w:firstRowLastColumn="0" w:lastRowFirstColumn="0" w:lastRowLastColumn="0"/>
              <w:rPr>
                <w:b w:val="0"/>
                <w:bCs w:val="0"/>
                <w:sz w:val="20"/>
                <w:szCs w:val="14"/>
              </w:rPr>
            </w:pPr>
            <w:r w:rsidRPr="0001634C">
              <w:rPr>
                <w:b w:val="0"/>
                <w:bCs w:val="0"/>
                <w:sz w:val="20"/>
                <w:szCs w:val="14"/>
              </w:rPr>
              <w:t>$ 0.80</w:t>
            </w:r>
          </w:p>
        </w:tc>
      </w:tr>
    </w:tbl>
    <w:p w14:paraId="28969A15" w14:textId="77777777" w:rsidR="00580C4B" w:rsidRDefault="00580C4B" w:rsidP="00ED2063">
      <w:pPr>
        <w:spacing w:before="120"/>
      </w:pPr>
    </w:p>
    <w:p w14:paraId="230870A7" w14:textId="0B0E236F" w:rsidR="007E3DF9" w:rsidRPr="000A0A63" w:rsidRDefault="007E3DF9" w:rsidP="007E3DF9">
      <w:pPr>
        <w:spacing w:before="120"/>
        <w:rPr>
          <w:b/>
          <w:bCs/>
        </w:rPr>
      </w:pPr>
      <w:r>
        <w:rPr>
          <w:b/>
          <w:bCs/>
        </w:rPr>
        <w:t xml:space="preserve">Table </w:t>
      </w:r>
      <w:r w:rsidR="00D05688">
        <w:rPr>
          <w:b/>
          <w:bCs/>
        </w:rPr>
        <w:t>10</w:t>
      </w:r>
      <w:r w:rsidR="0059013E">
        <w:rPr>
          <w:b/>
          <w:bCs/>
        </w:rPr>
        <w:t>: Benefit from regulation (households with small children)</w:t>
      </w:r>
    </w:p>
    <w:p w14:paraId="310E52FD" w14:textId="2DEFFBDB" w:rsidR="007E3DF9" w:rsidRDefault="00623F1C" w:rsidP="00F05000">
      <w:pPr>
        <w:spacing w:before="120"/>
      </w:pPr>
      <w:r w:rsidRPr="00623F1C">
        <w:rPr>
          <w:noProof/>
          <w:lang w:eastAsia="en-AU"/>
        </w:rPr>
        <w:drawing>
          <wp:inline distT="0" distB="0" distL="0" distR="0" wp14:anchorId="302F605E" wp14:editId="4574DE65">
            <wp:extent cx="5883336" cy="8858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07607" cy="889479"/>
                    </a:xfrm>
                    <a:prstGeom prst="rect">
                      <a:avLst/>
                    </a:prstGeom>
                    <a:noFill/>
                    <a:ln>
                      <a:noFill/>
                    </a:ln>
                  </pic:spPr>
                </pic:pic>
              </a:graphicData>
            </a:graphic>
          </wp:inline>
        </w:drawing>
      </w:r>
    </w:p>
    <w:p w14:paraId="4E0712FA" w14:textId="3C3BC0D7" w:rsidR="00A87B2F" w:rsidRDefault="00A87B2F" w:rsidP="00F05000">
      <w:pPr>
        <w:spacing w:before="120"/>
      </w:pPr>
      <w:r>
        <w:t xml:space="preserve">The benefit to be gained from regulation is likely to cover the cost of all regulatory options for which compliance costs have been calculated (see </w:t>
      </w:r>
      <w:r w:rsidR="00276370">
        <w:t>Table 7</w:t>
      </w:r>
      <w:r>
        <w:t>), including the cost of stability testing if the cost of testing was averaged across supplied units.</w:t>
      </w:r>
    </w:p>
    <w:p w14:paraId="4457D3F3" w14:textId="715EB7DC" w:rsidR="00947BA1" w:rsidRDefault="00A87B2F">
      <w:pPr>
        <w:spacing w:before="120"/>
      </w:pPr>
      <w:r w:rsidRPr="0074136B">
        <w:t>The cost of regulation is likely to be absorbed into the retail price of product</w:t>
      </w:r>
      <w:r>
        <w:t>s</w:t>
      </w:r>
      <w:r w:rsidRPr="0074136B">
        <w:t xml:space="preserve"> and </w:t>
      </w:r>
      <w:r w:rsidR="00206A7F" w:rsidRPr="0074136B">
        <w:t xml:space="preserve">seems to be </w:t>
      </w:r>
      <w:r w:rsidR="00206A7F">
        <w:t>an affordable cost for consumers</w:t>
      </w:r>
      <w:r w:rsidR="00206A7F" w:rsidRPr="0074136B">
        <w:t xml:space="preserve"> </w:t>
      </w:r>
      <w:r w:rsidRPr="0074136B">
        <w:t>based on current calculations</w:t>
      </w:r>
      <w:r>
        <w:t xml:space="preserve"> </w:t>
      </w:r>
      <w:r w:rsidR="00577F4F">
        <w:t>(</w:t>
      </w:r>
      <w:r>
        <w:t>approximately 60 cents per newly acquired item of furniture</w:t>
      </w:r>
      <w:r w:rsidR="00577F4F">
        <w:t>)</w:t>
      </w:r>
      <w:r w:rsidRPr="0074136B">
        <w:t>.</w:t>
      </w:r>
    </w:p>
    <w:p w14:paraId="401E585F" w14:textId="7302312B" w:rsidR="000F1587" w:rsidRDefault="000F1587" w:rsidP="00B64F3F">
      <w:pPr>
        <w:pStyle w:val="Numbered11"/>
      </w:pPr>
      <w:bookmarkStart w:id="784" w:name="_Toc126074151"/>
      <w:r>
        <w:t>Maintaining the status quo</w:t>
      </w:r>
      <w:bookmarkEnd w:id="784"/>
    </w:p>
    <w:p w14:paraId="4B8691D1" w14:textId="5C3D8E29" w:rsidR="000F1587" w:rsidRDefault="007D2D1A" w:rsidP="000F1587">
      <w:pPr>
        <w:spacing w:before="120"/>
      </w:pPr>
      <w:r>
        <w:t>N</w:t>
      </w:r>
      <w:r w:rsidR="000F1587">
        <w:t>o additional regulatory costs</w:t>
      </w:r>
      <w:r>
        <w:t xml:space="preserve"> would</w:t>
      </w:r>
      <w:r w:rsidR="000F1587">
        <w:t xml:space="preserve"> </w:t>
      </w:r>
      <w:r w:rsidR="00B577F6">
        <w:t>be</w:t>
      </w:r>
      <w:r w:rsidR="000F1587">
        <w:t xml:space="preserve"> imposed on manufacturers, distributors or retailers and no requirements would be placed on the supply of storage furniture if the status quo is maintained.</w:t>
      </w:r>
    </w:p>
    <w:p w14:paraId="4083B28E" w14:textId="59C05959" w:rsidR="007D2D1A" w:rsidRDefault="007D2D1A" w:rsidP="000F1587">
      <w:pPr>
        <w:spacing w:before="120"/>
      </w:pPr>
      <w:r>
        <w:t>Manufacturers and retailers who have not already voluntarily adopted safer practices are not likely to do so,</w:t>
      </w:r>
      <w:r w:rsidR="00EA3E2A">
        <w:t xml:space="preserve"> </w:t>
      </w:r>
      <w:r>
        <w:t xml:space="preserve">and more children and their families are likely to suffer significant harm or death </w:t>
      </w:r>
      <w:r w:rsidR="00577F4F">
        <w:t>due to</w:t>
      </w:r>
      <w:r>
        <w:t xml:space="preserve"> </w:t>
      </w:r>
      <w:r w:rsidR="00EA3E2A">
        <w:t>toppling furniture</w:t>
      </w:r>
      <w:r>
        <w:t xml:space="preserve"> incidents.</w:t>
      </w:r>
    </w:p>
    <w:p w14:paraId="4211636D" w14:textId="0ABCFD68" w:rsidR="003167B7" w:rsidRDefault="000F1587" w:rsidP="00964188">
      <w:pPr>
        <w:spacing w:before="120"/>
      </w:pPr>
      <w:r>
        <w:t xml:space="preserve">The ACCC assumes that maintaining the status quo (taking no action) will result in </w:t>
      </w:r>
      <w:r w:rsidR="007D2D1A">
        <w:t>toppling furniture</w:t>
      </w:r>
      <w:r>
        <w:t xml:space="preserve"> incidents continuing to occur at the current rate.</w:t>
      </w:r>
    </w:p>
    <w:p w14:paraId="0F52346F" w14:textId="77777777" w:rsidR="003167B7" w:rsidRDefault="003167B7">
      <w:r>
        <w:br w:type="page"/>
      </w:r>
    </w:p>
    <w:p w14:paraId="56391F9A" w14:textId="6A4BA13C" w:rsidR="00512CBD" w:rsidRDefault="00116CC7" w:rsidP="00F05000">
      <w:pPr>
        <w:pStyle w:val="Heading1"/>
        <w:spacing w:before="120"/>
      </w:pPr>
      <w:bookmarkStart w:id="785" w:name="_Toc115341485"/>
      <w:bookmarkStart w:id="786" w:name="_Toc115341994"/>
      <w:bookmarkStart w:id="787" w:name="_Toc115342503"/>
      <w:bookmarkStart w:id="788" w:name="_Toc116285834"/>
      <w:bookmarkStart w:id="789" w:name="_Toc116290888"/>
      <w:bookmarkEnd w:id="785"/>
      <w:bookmarkEnd w:id="786"/>
      <w:bookmarkEnd w:id="787"/>
      <w:bookmarkEnd w:id="788"/>
      <w:bookmarkEnd w:id="789"/>
      <w:r>
        <w:t xml:space="preserve"> </w:t>
      </w:r>
      <w:bookmarkStart w:id="790" w:name="_Toc126074152"/>
      <w:r w:rsidR="00512CBD">
        <w:t>What is the best option?</w:t>
      </w:r>
      <w:bookmarkEnd w:id="790"/>
    </w:p>
    <w:p w14:paraId="03CE6592" w14:textId="511544C7" w:rsidR="00764688" w:rsidRDefault="00764688" w:rsidP="007E743F">
      <w:pPr>
        <w:pStyle w:val="Numbered11"/>
      </w:pPr>
      <w:bookmarkStart w:id="791" w:name="_Toc126074153"/>
      <w:r>
        <w:t>Recommended option</w:t>
      </w:r>
      <w:bookmarkEnd w:id="791"/>
    </w:p>
    <w:p w14:paraId="32390876" w14:textId="40B9B4EA" w:rsidR="005C02D6" w:rsidRDefault="00577F4F" w:rsidP="00F05000">
      <w:pPr>
        <w:spacing w:before="120"/>
      </w:pPr>
      <w:r>
        <w:t>The ACCC’s view is that implementing a mandatory information standard (Option 2) is the best option. This view is informed by</w:t>
      </w:r>
      <w:r w:rsidR="00512CBD">
        <w:t xml:space="preserve"> </w:t>
      </w:r>
      <w:r w:rsidR="007F3FB8">
        <w:t>stakeholder submissions</w:t>
      </w:r>
      <w:r w:rsidR="00C33F2B">
        <w:t xml:space="preserve"> and</w:t>
      </w:r>
      <w:r w:rsidR="007F3FB8">
        <w:t xml:space="preserve"> subject matter experts</w:t>
      </w:r>
      <w:r w:rsidR="007A377F">
        <w:t xml:space="preserve"> </w:t>
      </w:r>
      <w:r w:rsidR="00C33F2B">
        <w:t xml:space="preserve">and </w:t>
      </w:r>
      <w:r w:rsidR="00012776">
        <w:t>is</w:t>
      </w:r>
      <w:r w:rsidR="00C33F2B">
        <w:t xml:space="preserve"> supported by </w:t>
      </w:r>
      <w:r>
        <w:t>the</w:t>
      </w:r>
      <w:r w:rsidR="007F3FB8">
        <w:t xml:space="preserve"> </w:t>
      </w:r>
      <w:r w:rsidR="00EA4E4C">
        <w:t>regulatory</w:t>
      </w:r>
      <w:r w:rsidR="007F3FB8">
        <w:t xml:space="preserve"> </w:t>
      </w:r>
      <w:r>
        <w:t>cost-benefit analysis</w:t>
      </w:r>
      <w:r w:rsidR="00782C68">
        <w:t>, which indicated that any of the proposed options would be viable and that the cost of Option 2 is considerably less than some of the other Options.</w:t>
      </w:r>
    </w:p>
    <w:p w14:paraId="4C9662F3" w14:textId="01765831" w:rsidR="00D21448" w:rsidRDefault="0076512A" w:rsidP="00F05000">
      <w:pPr>
        <w:spacing w:before="120"/>
      </w:pPr>
      <w:r>
        <w:t>Many</w:t>
      </w:r>
      <w:r w:rsidR="00DB4F65">
        <w:t xml:space="preserve"> stakeholders considered a</w:t>
      </w:r>
      <w:r w:rsidR="00741085">
        <w:t>dd</w:t>
      </w:r>
      <w:r w:rsidR="00DB4F65">
        <w:t>itional safety information and warnings to be a</w:t>
      </w:r>
      <w:r w:rsidR="00741085">
        <w:t xml:space="preserve"> beneficial measure</w:t>
      </w:r>
      <w:r w:rsidR="00EF734D">
        <w:t>, and</w:t>
      </w:r>
      <w:r w:rsidR="00D42680">
        <w:t xml:space="preserve"> that this</w:t>
      </w:r>
      <w:r w:rsidR="00EF734D">
        <w:t xml:space="preserve"> is a wide-reaching option that can be implemented within a short timeframe.</w:t>
      </w:r>
      <w:r w:rsidR="006C307E">
        <w:t xml:space="preserve"> It can also work effectively with a range of complementary measures</w:t>
      </w:r>
      <w:r w:rsidR="00B70E79">
        <w:t>,</w:t>
      </w:r>
      <w:r w:rsidR="00F54D16">
        <w:t xml:space="preserve"> </w:t>
      </w:r>
      <w:r w:rsidR="00577F4F">
        <w:t>in</w:t>
      </w:r>
      <w:r w:rsidR="00B70E79">
        <w:t xml:space="preserve">cluding an education campaign led by the ACCC. </w:t>
      </w:r>
      <w:r w:rsidR="00577F4F">
        <w:t xml:space="preserve"> </w:t>
      </w:r>
    </w:p>
    <w:p w14:paraId="57588C0C" w14:textId="77777777" w:rsidR="00166908" w:rsidRDefault="00166908" w:rsidP="00166908">
      <w:r>
        <w:rPr>
          <w:bCs/>
        </w:rPr>
        <w:t>A mandatory information standard would not apply to second hand furniture.</w:t>
      </w:r>
    </w:p>
    <w:p w14:paraId="4E32A015" w14:textId="197F448B" w:rsidR="00B802EC" w:rsidRDefault="00461BA0" w:rsidP="00F05000">
      <w:pPr>
        <w:spacing w:before="120"/>
      </w:pPr>
      <w:r>
        <w:t xml:space="preserve">We </w:t>
      </w:r>
      <w:r w:rsidR="009A22E8">
        <w:t>acknowledge</w:t>
      </w:r>
      <w:r w:rsidR="00A27806">
        <w:t xml:space="preserve"> some</w:t>
      </w:r>
      <w:r w:rsidR="009A22E8">
        <w:t xml:space="preserve"> </w:t>
      </w:r>
      <w:r w:rsidR="00D21448">
        <w:t>stakeholder</w:t>
      </w:r>
      <w:r w:rsidR="00BE4CD9">
        <w:t xml:space="preserve">s supported </w:t>
      </w:r>
      <w:r w:rsidR="00812E57">
        <w:t xml:space="preserve">the adoption of </w:t>
      </w:r>
      <w:r w:rsidR="00730070">
        <w:t>a combined</w:t>
      </w:r>
      <w:r w:rsidR="00812E57">
        <w:t xml:space="preserve"> mandatory information standard and safety standard that </w:t>
      </w:r>
      <w:r w:rsidR="00730070">
        <w:t>include</w:t>
      </w:r>
      <w:r w:rsidR="00577F4F">
        <w:t>d</w:t>
      </w:r>
      <w:r w:rsidR="00812E57">
        <w:t xml:space="preserve"> stability requirements</w:t>
      </w:r>
      <w:r w:rsidR="00816AB6">
        <w:t>, anchoring device</w:t>
      </w:r>
      <w:r w:rsidR="00577F4F">
        <w:t>s</w:t>
      </w:r>
      <w:r w:rsidR="00816AB6">
        <w:t xml:space="preserve"> or both</w:t>
      </w:r>
      <w:r w:rsidR="00812E57">
        <w:t xml:space="preserve">. </w:t>
      </w:r>
      <w:r w:rsidR="00C84217">
        <w:t>It is the ACCC’s view there are</w:t>
      </w:r>
      <w:r w:rsidR="00E96DB3">
        <w:t xml:space="preserve"> currently</w:t>
      </w:r>
      <w:r w:rsidR="00C84217">
        <w:t xml:space="preserve"> </w:t>
      </w:r>
      <w:r w:rsidR="00577F4F">
        <w:t xml:space="preserve">no </w:t>
      </w:r>
      <w:r w:rsidR="007554B1">
        <w:t xml:space="preserve">feasible </w:t>
      </w:r>
      <w:r w:rsidR="00577F4F">
        <w:t xml:space="preserve">domestic or international </w:t>
      </w:r>
      <w:r w:rsidR="005939A4">
        <w:t>stability standards to inform a mandatory safety standard</w:t>
      </w:r>
      <w:r w:rsidR="00C84217">
        <w:t xml:space="preserve"> and as such,</w:t>
      </w:r>
      <w:r w:rsidR="00730070">
        <w:t xml:space="preserve"> </w:t>
      </w:r>
      <w:r>
        <w:t xml:space="preserve">the ACCC </w:t>
      </w:r>
      <w:r w:rsidR="00730070">
        <w:t xml:space="preserve">considers </w:t>
      </w:r>
      <w:r w:rsidR="005939A4">
        <w:t>this</w:t>
      </w:r>
      <w:r w:rsidR="00D21448">
        <w:t xml:space="preserve"> is </w:t>
      </w:r>
      <w:r w:rsidR="005939A4">
        <w:t xml:space="preserve">currently </w:t>
      </w:r>
      <w:r w:rsidR="00D21448">
        <w:t>not a practic</w:t>
      </w:r>
      <w:r w:rsidR="005939A4">
        <w:t>al</w:t>
      </w:r>
      <w:r w:rsidR="00D21448">
        <w:t xml:space="preserve"> option</w:t>
      </w:r>
      <w:r w:rsidR="00DD1724">
        <w:t xml:space="preserve">. </w:t>
      </w:r>
    </w:p>
    <w:p w14:paraId="1E2BB407" w14:textId="6D51649F" w:rsidR="00B802EC" w:rsidRDefault="00B802EC" w:rsidP="00F05000">
      <w:pPr>
        <w:spacing w:before="120"/>
      </w:pPr>
      <w:r>
        <w:t xml:space="preserve">The ACCC recognises </w:t>
      </w:r>
      <w:r w:rsidR="00661355">
        <w:t>a</w:t>
      </w:r>
      <w:r>
        <w:t xml:space="preserve"> </w:t>
      </w:r>
      <w:r w:rsidR="00D02D9B">
        <w:t xml:space="preserve">mandatory </w:t>
      </w:r>
      <w:r w:rsidR="00785725">
        <w:t xml:space="preserve">safety </w:t>
      </w:r>
      <w:r w:rsidR="00661355">
        <w:t xml:space="preserve">standard </w:t>
      </w:r>
      <w:r w:rsidR="00502E2A">
        <w:t>prescribing</w:t>
      </w:r>
      <w:r w:rsidR="007F3ED3">
        <w:t xml:space="preserve"> </w:t>
      </w:r>
      <w:r>
        <w:t>anchoring</w:t>
      </w:r>
      <w:r w:rsidR="00E56698">
        <w:t xml:space="preserve"> </w:t>
      </w:r>
      <w:r w:rsidR="005939A4">
        <w:t>requirements</w:t>
      </w:r>
      <w:r w:rsidR="00392074">
        <w:t xml:space="preserve"> </w:t>
      </w:r>
      <w:r w:rsidR="00E56698">
        <w:t>may be beneficial but</w:t>
      </w:r>
      <w:r w:rsidR="00D02D9B">
        <w:t xml:space="preserve"> </w:t>
      </w:r>
      <w:r w:rsidR="00A27806">
        <w:t xml:space="preserve">considers there are </w:t>
      </w:r>
      <w:r>
        <w:t xml:space="preserve">shortcomings associated with </w:t>
      </w:r>
      <w:r w:rsidR="00392074">
        <w:t>this option</w:t>
      </w:r>
      <w:r w:rsidR="00A27806">
        <w:t>, including:</w:t>
      </w:r>
      <w:r>
        <w:t xml:space="preserve"> </w:t>
      </w:r>
    </w:p>
    <w:p w14:paraId="72E6FC88" w14:textId="10DAA9E2" w:rsidR="005939A4" w:rsidRDefault="005939A4" w:rsidP="00806096">
      <w:pPr>
        <w:pStyle w:val="ListParagraph"/>
        <w:numPr>
          <w:ilvl w:val="0"/>
          <w:numId w:val="31"/>
        </w:numPr>
      </w:pPr>
      <w:r>
        <w:t xml:space="preserve">anchoring relies on consumers correctly anchoring the product, which may not occur for a variety of reasons (i.e. </w:t>
      </w:r>
      <w:r w:rsidR="004E2149">
        <w:t>no technical capacity or</w:t>
      </w:r>
      <w:r w:rsidR="004E2149" w:rsidDel="004E2149">
        <w:t xml:space="preserve"> </w:t>
      </w:r>
      <w:r w:rsidR="004E2149">
        <w:t>no</w:t>
      </w:r>
      <w:r>
        <w:t xml:space="preserve"> landlord </w:t>
      </w:r>
      <w:r w:rsidR="004E2149">
        <w:t>approval</w:t>
      </w:r>
      <w:r>
        <w:t>)</w:t>
      </w:r>
    </w:p>
    <w:p w14:paraId="6183C304" w14:textId="3FC28D2F" w:rsidR="005939A4" w:rsidRDefault="004E2149" w:rsidP="00806096">
      <w:pPr>
        <w:pStyle w:val="ListParagraph"/>
        <w:numPr>
          <w:ilvl w:val="0"/>
          <w:numId w:val="31"/>
        </w:numPr>
      </w:pPr>
      <w:r>
        <w:t>anchoring would be more effective if introduced simultaneously with stability requirements</w:t>
      </w:r>
      <w:r w:rsidR="00770572">
        <w:t>.</w:t>
      </w:r>
    </w:p>
    <w:p w14:paraId="54A347AF" w14:textId="5C397F4F" w:rsidR="003801C2" w:rsidRDefault="004E2149" w:rsidP="00FC67D6">
      <w:pPr>
        <w:rPr>
          <w:bCs/>
        </w:rPr>
      </w:pPr>
      <w:r>
        <w:rPr>
          <w:bCs/>
        </w:rPr>
        <w:t>Acknowledging the potential for both stability and anchoring requirements to improve safety outcomes, the ACCC considers</w:t>
      </w:r>
      <w:r w:rsidR="003801C2" w:rsidRPr="00D55E73">
        <w:rPr>
          <w:bCs/>
        </w:rPr>
        <w:t xml:space="preserve"> </w:t>
      </w:r>
      <w:r>
        <w:rPr>
          <w:bCs/>
        </w:rPr>
        <w:t xml:space="preserve">a phased regulatory approach </w:t>
      </w:r>
      <w:r w:rsidR="00FB5462">
        <w:rPr>
          <w:bCs/>
        </w:rPr>
        <w:t>may be appropriate</w:t>
      </w:r>
      <w:r>
        <w:rPr>
          <w:bCs/>
        </w:rPr>
        <w:t>. A</w:t>
      </w:r>
      <w:r w:rsidR="003801C2" w:rsidRPr="00D55E73">
        <w:rPr>
          <w:bCs/>
        </w:rPr>
        <w:t xml:space="preserve"> mandatory information standard </w:t>
      </w:r>
      <w:r>
        <w:rPr>
          <w:bCs/>
        </w:rPr>
        <w:t xml:space="preserve">can be introduced first </w:t>
      </w:r>
      <w:r w:rsidR="00394952">
        <w:rPr>
          <w:bCs/>
        </w:rPr>
        <w:t xml:space="preserve">and </w:t>
      </w:r>
      <w:r w:rsidR="00C84217">
        <w:rPr>
          <w:bCs/>
        </w:rPr>
        <w:t xml:space="preserve">the possibility of </w:t>
      </w:r>
      <w:r w:rsidR="00394952">
        <w:rPr>
          <w:bCs/>
        </w:rPr>
        <w:t>stability and anchoring requirements could be</w:t>
      </w:r>
      <w:r w:rsidR="00C84217">
        <w:rPr>
          <w:bCs/>
        </w:rPr>
        <w:t xml:space="preserve"> re-assessed once</w:t>
      </w:r>
      <w:r w:rsidR="00CE2707">
        <w:rPr>
          <w:bCs/>
        </w:rPr>
        <w:t xml:space="preserve"> implementation of the</w:t>
      </w:r>
      <w:r w:rsidR="008B5B53">
        <w:rPr>
          <w:bCs/>
        </w:rPr>
        <w:t xml:space="preserve"> mandatory</w:t>
      </w:r>
      <w:r w:rsidR="00CE2707">
        <w:rPr>
          <w:bCs/>
        </w:rPr>
        <w:t xml:space="preserve"> information standard is evaluated</w:t>
      </w:r>
      <w:r w:rsidR="009863C8">
        <w:rPr>
          <w:bCs/>
        </w:rPr>
        <w:t>,</w:t>
      </w:r>
      <w:r w:rsidR="00CE2707">
        <w:rPr>
          <w:bCs/>
        </w:rPr>
        <w:t xml:space="preserve"> and</w:t>
      </w:r>
      <w:r w:rsidR="00C84217">
        <w:rPr>
          <w:bCs/>
        </w:rPr>
        <w:t xml:space="preserve"> voluntary Australia</w:t>
      </w:r>
      <w:r w:rsidR="009863C8">
        <w:rPr>
          <w:bCs/>
        </w:rPr>
        <w:t>n</w:t>
      </w:r>
      <w:r w:rsidR="00C84217">
        <w:rPr>
          <w:bCs/>
        </w:rPr>
        <w:t xml:space="preserve"> and international standards are further progressed.</w:t>
      </w:r>
      <w:r w:rsidR="00394952">
        <w:rPr>
          <w:bCs/>
        </w:rPr>
        <w:t xml:space="preserve"> </w:t>
      </w:r>
    </w:p>
    <w:p w14:paraId="2AC18623" w14:textId="77777777" w:rsidR="00166908" w:rsidRDefault="00166908" w:rsidP="00166908">
      <w:pPr>
        <w:pStyle w:val="Numbered11"/>
      </w:pPr>
      <w:bookmarkStart w:id="792" w:name="_Toc126074154"/>
      <w:r>
        <w:t>Complementary measures</w:t>
      </w:r>
      <w:bookmarkEnd w:id="792"/>
    </w:p>
    <w:p w14:paraId="5D43AFC6" w14:textId="456AD6F8" w:rsidR="00166908" w:rsidRDefault="00166908" w:rsidP="00166908">
      <w:pPr>
        <w:spacing w:before="120"/>
      </w:pPr>
      <w:r>
        <w:t xml:space="preserve">The ACCC considers additional risk mitigation measures should be </w:t>
      </w:r>
      <w:r w:rsidR="00AD2F3D">
        <w:t xml:space="preserve">taken and will undertake </w:t>
      </w:r>
      <w:r>
        <w:t>an education campaign</w:t>
      </w:r>
      <w:r w:rsidR="00783C0F">
        <w:t xml:space="preserve"> to raise</w:t>
      </w:r>
      <w:r w:rsidR="00AD2F3D">
        <w:t xml:space="preserve"> consumer awareness</w:t>
      </w:r>
      <w:r>
        <w:t xml:space="preserve">. The ACCC will continue to engage with consumer advocacy groups to promote safety awareness messaging, particularly targeting parents and carers of young children. </w:t>
      </w:r>
    </w:p>
    <w:p w14:paraId="08BB2E94" w14:textId="77777777" w:rsidR="00166908" w:rsidRDefault="00166908" w:rsidP="00166908">
      <w:pPr>
        <w:spacing w:before="120"/>
      </w:pPr>
      <w:r>
        <w:t>The ACCC will also engage with industry partners to support consumers with practical guidance on how to safely install products. The ACCC recognises the utility of targeted messaging to influence consumer behaviour and acknowledges this education will be an ongoing project.</w:t>
      </w:r>
    </w:p>
    <w:p w14:paraId="0FF6899C" w14:textId="77777777" w:rsidR="00166908" w:rsidRDefault="00166908" w:rsidP="00166908">
      <w:pPr>
        <w:spacing w:before="120"/>
      </w:pPr>
      <w:r>
        <w:t xml:space="preserve">The ACCC will explore opportunities to engage with sellers of second-hand furniture. These entities will not be subject to the mandatory information standard but still have customers that would benefit from education and resources. </w:t>
      </w:r>
    </w:p>
    <w:p w14:paraId="0009CEBD" w14:textId="77777777" w:rsidR="00166908" w:rsidRDefault="00166908" w:rsidP="00166908">
      <w:pPr>
        <w:spacing w:before="120"/>
      </w:pPr>
      <w:r>
        <w:t>The ACCC will continue to advocate for legislative changes to allow renters to install anchor devices in states where this is not yet permitted.</w:t>
      </w:r>
    </w:p>
    <w:p w14:paraId="4F993AA1" w14:textId="08929112" w:rsidR="00E26B5D" w:rsidRPr="00EE2393" w:rsidRDefault="00E26B5D" w:rsidP="00F05000">
      <w:pPr>
        <w:pStyle w:val="Heading2"/>
        <w:spacing w:before="120"/>
      </w:pPr>
      <w:bookmarkStart w:id="793" w:name="_Toc126074155"/>
      <w:r w:rsidRPr="00E30B21">
        <w:t xml:space="preserve">Benefits of </w:t>
      </w:r>
      <w:r w:rsidR="00170908">
        <w:t>a mandatory</w:t>
      </w:r>
      <w:r w:rsidRPr="00E30B21">
        <w:t xml:space="preserve"> information standard</w:t>
      </w:r>
      <w:bookmarkEnd w:id="793"/>
    </w:p>
    <w:p w14:paraId="59F23EF3" w14:textId="318E20F8" w:rsidR="002A0BAF" w:rsidRDefault="002A0BAF" w:rsidP="00F05000">
      <w:pPr>
        <w:spacing w:before="120"/>
      </w:pPr>
      <w:r w:rsidRPr="00221409">
        <w:t xml:space="preserve">A mandatory information standard </w:t>
      </w:r>
      <w:r w:rsidR="00390951">
        <w:t>is expected</w:t>
      </w:r>
      <w:r w:rsidRPr="00221409">
        <w:t xml:space="preserve"> to</w:t>
      </w:r>
      <w:r w:rsidR="00390951">
        <w:t xml:space="preserve"> </w:t>
      </w:r>
      <w:r w:rsidRPr="00221409">
        <w:t>influence</w:t>
      </w:r>
      <w:r w:rsidR="00B4584B" w:rsidRPr="00E30B21">
        <w:t xml:space="preserve"> consumer behaviou</w:t>
      </w:r>
      <w:r w:rsidRPr="00221409">
        <w:t xml:space="preserve">r. Providing </w:t>
      </w:r>
      <w:r w:rsidR="002D210D">
        <w:t xml:space="preserve">multiple </w:t>
      </w:r>
      <w:r w:rsidRPr="00221409">
        <w:t>warning</w:t>
      </w:r>
      <w:r w:rsidR="006C5238" w:rsidRPr="00221409">
        <w:t>s</w:t>
      </w:r>
      <w:r w:rsidRPr="00221409">
        <w:t xml:space="preserve"> and</w:t>
      </w:r>
      <w:r w:rsidR="00B66F0F">
        <w:t xml:space="preserve"> consistent</w:t>
      </w:r>
      <w:r w:rsidRPr="00221409">
        <w:t xml:space="preserve"> product safety information </w:t>
      </w:r>
      <w:r w:rsidR="00B4584B" w:rsidRPr="00E30B21">
        <w:t xml:space="preserve">at the point of sale </w:t>
      </w:r>
      <w:r w:rsidR="00394952">
        <w:t>(</w:t>
      </w:r>
      <w:r w:rsidR="00B4584B" w:rsidRPr="00E30B21">
        <w:t>instore and online</w:t>
      </w:r>
      <w:r w:rsidR="00394952">
        <w:t>)</w:t>
      </w:r>
      <w:r w:rsidR="00B4584B" w:rsidRPr="00E30B21">
        <w:t xml:space="preserve"> </w:t>
      </w:r>
      <w:r w:rsidRPr="00221409">
        <w:t xml:space="preserve">will </w:t>
      </w:r>
      <w:r w:rsidR="00394952">
        <w:t xml:space="preserve">inform consumers about </w:t>
      </w:r>
      <w:r w:rsidRPr="00221409">
        <w:t xml:space="preserve">the </w:t>
      </w:r>
      <w:r w:rsidR="00BD3E86">
        <w:t>risk and type of furniture prone to toppling</w:t>
      </w:r>
      <w:r w:rsidR="00461BA0">
        <w:t xml:space="preserve">. </w:t>
      </w:r>
    </w:p>
    <w:p w14:paraId="246400FF" w14:textId="3E7DA882" w:rsidR="004728A7" w:rsidRDefault="001B1598" w:rsidP="00F05000">
      <w:pPr>
        <w:spacing w:before="120"/>
      </w:pPr>
      <w:r>
        <w:t>A</w:t>
      </w:r>
      <w:r w:rsidR="00822F73">
        <w:t xml:space="preserve"> mandatory</w:t>
      </w:r>
      <w:r w:rsidR="004728A7" w:rsidRPr="006020AB">
        <w:t xml:space="preserve"> information standard will </w:t>
      </w:r>
      <w:r w:rsidR="00353E78" w:rsidRPr="006020AB">
        <w:t>also serve to promote the use of anchors. While not a proxy for a safety standard, it is anticipated repeated an</w:t>
      </w:r>
      <w:r w:rsidR="00C71558" w:rsidRPr="006020AB">
        <w:t>d</w:t>
      </w:r>
      <w:r w:rsidR="00353E78" w:rsidRPr="006020AB">
        <w:t xml:space="preserve"> consistent exposure to</w:t>
      </w:r>
      <w:r w:rsidR="00B66F0F">
        <w:t xml:space="preserve"> </w:t>
      </w:r>
      <w:r w:rsidR="00A91500">
        <w:t>anchoring</w:t>
      </w:r>
      <w:r w:rsidR="00A91500" w:rsidRPr="006020AB">
        <w:t xml:space="preserve"> </w:t>
      </w:r>
      <w:r w:rsidR="00353E78" w:rsidRPr="006020AB">
        <w:t xml:space="preserve">recommendations will increase consumer </w:t>
      </w:r>
      <w:r>
        <w:t xml:space="preserve">awareness and </w:t>
      </w:r>
      <w:r w:rsidR="00353E78" w:rsidRPr="006020AB">
        <w:t xml:space="preserve">use of anchor devices. </w:t>
      </w:r>
    </w:p>
    <w:p w14:paraId="1617FA8F" w14:textId="4488472C" w:rsidR="001B1598" w:rsidRDefault="001B1598" w:rsidP="00F05000">
      <w:pPr>
        <w:spacing w:before="120"/>
      </w:pPr>
      <w:r w:rsidRPr="008D0205">
        <w:t xml:space="preserve">Accessibility of information was </w:t>
      </w:r>
      <w:r w:rsidR="002D210D">
        <w:t>highlighted</w:t>
      </w:r>
      <w:r w:rsidRPr="008D0205">
        <w:t xml:space="preserve"> in stakeholder submissions. The</w:t>
      </w:r>
      <w:r w:rsidR="00172184">
        <w:t xml:space="preserve"> mandatory</w:t>
      </w:r>
      <w:r w:rsidRPr="008D0205">
        <w:t xml:space="preserve"> information standard supports universal understanding by endorsing standardised </w:t>
      </w:r>
      <w:r w:rsidR="00B66F0F" w:rsidRPr="008D0205">
        <w:t>graphic</w:t>
      </w:r>
      <w:r w:rsidR="00B66F0F">
        <w:t>s</w:t>
      </w:r>
      <w:r w:rsidR="00B66F0F" w:rsidRPr="008D0205">
        <w:t>-based</w:t>
      </w:r>
      <w:r w:rsidRPr="008D0205">
        <w:t xml:space="preserve"> safety labels</w:t>
      </w:r>
      <w:r w:rsidR="00FB5462">
        <w:t xml:space="preserve"> and plain English warnings</w:t>
      </w:r>
      <w:r w:rsidRPr="008D0205">
        <w:t xml:space="preserve">. These pictograms </w:t>
      </w:r>
      <w:r>
        <w:t>clearly communicate</w:t>
      </w:r>
      <w:r w:rsidRPr="008D0205">
        <w:t xml:space="preserve"> the risk</w:t>
      </w:r>
      <w:r>
        <w:t>s</w:t>
      </w:r>
      <w:r w:rsidRPr="008D0205">
        <w:t xml:space="preserve"> of children climbing on the furniture and promote the use of anchor devices. </w:t>
      </w:r>
    </w:p>
    <w:p w14:paraId="5CCC9F4C" w14:textId="2B7F8CDB" w:rsidR="009315CB" w:rsidRPr="00E30B21" w:rsidRDefault="009042D3" w:rsidP="00F05000">
      <w:pPr>
        <w:spacing w:before="120"/>
      </w:pPr>
      <w:r w:rsidRPr="00504D28">
        <w:t>The</w:t>
      </w:r>
      <w:r w:rsidR="00822F73">
        <w:t xml:space="preserve"> mandatory</w:t>
      </w:r>
      <w:r w:rsidRPr="00504D28">
        <w:t xml:space="preserve"> information standard will also provide benefit </w:t>
      </w:r>
      <w:r w:rsidR="001E163F">
        <w:t>during</w:t>
      </w:r>
      <w:r w:rsidRPr="00504D28">
        <w:t xml:space="preserve"> the life</w:t>
      </w:r>
      <w:r w:rsidR="009315CB" w:rsidRPr="00504D28">
        <w:t xml:space="preserve">span of the product </w:t>
      </w:r>
      <w:r w:rsidR="00B4584B" w:rsidRPr="00504D28">
        <w:t>through affixed permanent warning labels</w:t>
      </w:r>
      <w:r w:rsidR="009315CB" w:rsidRPr="00504D28">
        <w:t xml:space="preserve">. </w:t>
      </w:r>
      <w:r w:rsidR="00F265A2">
        <w:t xml:space="preserve">The </w:t>
      </w:r>
      <w:r w:rsidR="008B5B53">
        <w:t xml:space="preserve">mandatory </w:t>
      </w:r>
      <w:r w:rsidR="00F265A2">
        <w:t xml:space="preserve">information standard requires </w:t>
      </w:r>
      <w:r w:rsidR="00581D50" w:rsidRPr="00504D28">
        <w:t>label</w:t>
      </w:r>
      <w:r w:rsidR="007B40BE">
        <w:t>s</w:t>
      </w:r>
      <w:r w:rsidR="00581D50" w:rsidRPr="00504D28">
        <w:t xml:space="preserve"> </w:t>
      </w:r>
      <w:r w:rsidR="007B40BE">
        <w:t>be</w:t>
      </w:r>
      <w:r w:rsidR="007B40BE" w:rsidRPr="00504D28">
        <w:t xml:space="preserve"> </w:t>
      </w:r>
      <w:r w:rsidR="004728A7" w:rsidRPr="00504D28">
        <w:t>positioned</w:t>
      </w:r>
      <w:r w:rsidR="00581D50" w:rsidRPr="00504D28">
        <w:t xml:space="preserve"> where </w:t>
      </w:r>
      <w:r w:rsidR="007B40BE">
        <w:t>they</w:t>
      </w:r>
      <w:r w:rsidR="007B40BE" w:rsidRPr="00504D28">
        <w:t xml:space="preserve"> </w:t>
      </w:r>
      <w:r w:rsidR="00581D50" w:rsidRPr="00504D28">
        <w:t>will be visible when the product is empty (for example on the inside of a door or drawer)</w:t>
      </w:r>
      <w:r w:rsidR="004728A7" w:rsidRPr="00504D28">
        <w:t>. This will have the additional benefit of educating consumers who acquire the product second</w:t>
      </w:r>
      <w:r w:rsidR="007B40BE">
        <w:t>-</w:t>
      </w:r>
      <w:r w:rsidR="004728A7" w:rsidRPr="00504D28">
        <w:t xml:space="preserve">hand. </w:t>
      </w:r>
      <w:r w:rsidR="00183D71">
        <w:t xml:space="preserve">However, it is not proposed that the requirements in the </w:t>
      </w:r>
      <w:r w:rsidR="008B5B53">
        <w:t xml:space="preserve">mandatory </w:t>
      </w:r>
      <w:r w:rsidR="00183D71">
        <w:t xml:space="preserve">information standard will apply to </w:t>
      </w:r>
      <w:r w:rsidR="00597EA3">
        <w:t>second-hand</w:t>
      </w:r>
      <w:r w:rsidR="00183D71">
        <w:t xml:space="preserve"> products as it would be impractical to implement or enforce. </w:t>
      </w:r>
      <w:r w:rsidR="00C6769F">
        <w:t>T</w:t>
      </w:r>
      <w:r w:rsidR="00321433">
        <w:t>he ACCC intends to support second</w:t>
      </w:r>
      <w:r w:rsidR="00C45FD3">
        <w:t>-</w:t>
      </w:r>
      <w:r w:rsidR="00321433">
        <w:t xml:space="preserve">hand consumers and retailers with information </w:t>
      </w:r>
      <w:r w:rsidR="00C45FD3">
        <w:t>and education</w:t>
      </w:r>
      <w:r w:rsidR="00321433">
        <w:t>.</w:t>
      </w:r>
    </w:p>
    <w:p w14:paraId="10DF556D" w14:textId="1A130458" w:rsidR="00B4584B" w:rsidRDefault="00170A62" w:rsidP="00F05000">
      <w:pPr>
        <w:spacing w:before="120"/>
      </w:pPr>
      <w:r w:rsidRPr="00F05000">
        <w:t>Of the options recommended in the Consultation RIS, stakeholders were generally of the view that a mandatory information standard would be the most time</w:t>
      </w:r>
      <w:r w:rsidR="00C6769F">
        <w:t>-</w:t>
      </w:r>
      <w:r w:rsidRPr="00F05000">
        <w:t xml:space="preserve">efficient option to implement. </w:t>
      </w:r>
      <w:r w:rsidR="00096109" w:rsidRPr="00F05000">
        <w:t xml:space="preserve">It is </w:t>
      </w:r>
      <w:r w:rsidR="00C6769F">
        <w:t>expected</w:t>
      </w:r>
      <w:r w:rsidR="00C6769F" w:rsidRPr="00F05000">
        <w:t xml:space="preserve"> </w:t>
      </w:r>
      <w:r w:rsidR="00096109" w:rsidRPr="00F05000">
        <w:t>to</w:t>
      </w:r>
      <w:r w:rsidRPr="00F05000">
        <w:t xml:space="preserve"> take up to 12 months for </w:t>
      </w:r>
      <w:r w:rsidR="00B24F9E" w:rsidRPr="00731A4C">
        <w:t>manufacturers</w:t>
      </w:r>
      <w:r w:rsidRPr="00F05000">
        <w:t xml:space="preserve"> and retailers to </w:t>
      </w:r>
      <w:r w:rsidR="00EE3C51">
        <w:t>comply with</w:t>
      </w:r>
      <w:r w:rsidRPr="00F05000">
        <w:t xml:space="preserve"> </w:t>
      </w:r>
      <w:r w:rsidR="00D11114" w:rsidRPr="00F05000">
        <w:t>a</w:t>
      </w:r>
      <w:r w:rsidR="005F0058">
        <w:t xml:space="preserve"> mandatory</w:t>
      </w:r>
      <w:r w:rsidR="00D11114" w:rsidRPr="00F05000">
        <w:t xml:space="preserve"> information standard</w:t>
      </w:r>
      <w:r w:rsidR="00096109" w:rsidRPr="00F05000">
        <w:t>.</w:t>
      </w:r>
    </w:p>
    <w:p w14:paraId="301D9644" w14:textId="1A79E77E" w:rsidR="00E26B5D" w:rsidRDefault="00E26B5D" w:rsidP="00F05000">
      <w:pPr>
        <w:pStyle w:val="Heading2"/>
        <w:spacing w:before="120"/>
      </w:pPr>
      <w:bookmarkStart w:id="794" w:name="_Toc114232862"/>
      <w:bookmarkStart w:id="795" w:name="_Toc114233339"/>
      <w:bookmarkStart w:id="796" w:name="_Toc114233816"/>
      <w:bookmarkStart w:id="797" w:name="_Toc115341489"/>
      <w:bookmarkStart w:id="798" w:name="_Toc115341998"/>
      <w:bookmarkStart w:id="799" w:name="_Toc115342507"/>
      <w:bookmarkStart w:id="800" w:name="_Toc116285838"/>
      <w:bookmarkStart w:id="801" w:name="_Toc116290892"/>
      <w:bookmarkStart w:id="802" w:name="_Toc126074156"/>
      <w:bookmarkEnd w:id="794"/>
      <w:bookmarkEnd w:id="795"/>
      <w:bookmarkEnd w:id="796"/>
      <w:bookmarkEnd w:id="797"/>
      <w:bookmarkEnd w:id="798"/>
      <w:bookmarkEnd w:id="799"/>
      <w:bookmarkEnd w:id="800"/>
      <w:bookmarkEnd w:id="801"/>
      <w:r>
        <w:t>Issues with introducing a stability requirement</w:t>
      </w:r>
      <w:bookmarkEnd w:id="802"/>
    </w:p>
    <w:p w14:paraId="20C30FA4" w14:textId="42755260" w:rsidR="00EB4830" w:rsidRDefault="00FB7DA7" w:rsidP="00F05000">
      <w:pPr>
        <w:spacing w:before="120"/>
      </w:pPr>
      <w:r>
        <w:t>Safety</w:t>
      </w:r>
      <w:r w:rsidR="00EB4830">
        <w:t xml:space="preserve"> by design is product safety best practice. </w:t>
      </w:r>
      <w:r w:rsidR="00A01CE7">
        <w:t>Regarding</w:t>
      </w:r>
      <w:r w:rsidR="00EB4830">
        <w:t xml:space="preserve"> storage furniture,</w:t>
      </w:r>
      <w:r w:rsidR="00B831CB">
        <w:t xml:space="preserve"> the ACCC </w:t>
      </w:r>
      <w:r w:rsidR="00172184">
        <w:t xml:space="preserve">considers </w:t>
      </w:r>
      <w:r w:rsidR="00B831CB">
        <w:t xml:space="preserve">a stability requirement has potential to improve consumer safety. </w:t>
      </w:r>
      <w:r w:rsidR="00B24F9E">
        <w:t>However,</w:t>
      </w:r>
      <w:r w:rsidR="00B831CB">
        <w:t xml:space="preserve"> it </w:t>
      </w:r>
      <w:r w:rsidR="00A01CE7">
        <w:t>became</w:t>
      </w:r>
      <w:r w:rsidR="00B831CB">
        <w:t xml:space="preserve"> evident </w:t>
      </w:r>
      <w:r w:rsidR="001E163F">
        <w:t>during</w:t>
      </w:r>
      <w:r w:rsidR="00B831CB">
        <w:t xml:space="preserve"> </w:t>
      </w:r>
      <w:r w:rsidR="00742990">
        <w:t xml:space="preserve">the research and </w:t>
      </w:r>
      <w:r w:rsidR="00B831CB">
        <w:t>consultation that there is not currently a suitable voluntary standard that may be considered for</w:t>
      </w:r>
      <w:r w:rsidR="00BB2B01">
        <w:t xml:space="preserve"> </w:t>
      </w:r>
      <w:r w:rsidR="001E163F">
        <w:t>mandatory</w:t>
      </w:r>
      <w:r w:rsidR="00BB2B01">
        <w:t xml:space="preserve"> adoption. </w:t>
      </w:r>
      <w:r w:rsidR="0073788F">
        <w:t>It is not feasible for the ACCC to develop a bespoke safety standard</w:t>
      </w:r>
      <w:r w:rsidR="00D2028E">
        <w:t xml:space="preserve"> at this time</w:t>
      </w:r>
      <w:r w:rsidR="0073788F">
        <w:t>, as it</w:t>
      </w:r>
      <w:r w:rsidR="006372C5">
        <w:t xml:space="preserve"> risks </w:t>
      </w:r>
      <w:r w:rsidR="00D2028E">
        <w:t xml:space="preserve">duplication and/or inconsistency </w:t>
      </w:r>
      <w:r w:rsidR="006372C5">
        <w:t xml:space="preserve">with the Australian and </w:t>
      </w:r>
      <w:r w:rsidR="00E96DB3">
        <w:t xml:space="preserve">US </w:t>
      </w:r>
      <w:r w:rsidR="006372C5">
        <w:t>standards currently under review.</w:t>
      </w:r>
    </w:p>
    <w:p w14:paraId="7BF023CE" w14:textId="5F96A44B" w:rsidR="00BB2B01" w:rsidRDefault="00BB2B01" w:rsidP="00F05000">
      <w:pPr>
        <w:spacing w:before="120"/>
      </w:pPr>
      <w:r>
        <w:t>The ACCC is also aware there is only one suitable testing facility based in Australia</w:t>
      </w:r>
      <w:r w:rsidR="00172184">
        <w:t xml:space="preserve"> in Launceston, Tasmania</w:t>
      </w:r>
      <w:r>
        <w:t xml:space="preserve">. While multinational manufacturers and retailers </w:t>
      </w:r>
      <w:r w:rsidR="006F7148">
        <w:t>may have access to international testing facilities, local manufacture</w:t>
      </w:r>
      <w:r w:rsidR="00D2028E">
        <w:t>r</w:t>
      </w:r>
      <w:r w:rsidR="006F7148">
        <w:t xml:space="preserve">s may face prohibitive costs in accessing </w:t>
      </w:r>
      <w:r w:rsidR="00D2028E">
        <w:t xml:space="preserve">international </w:t>
      </w:r>
      <w:r w:rsidR="006F7148">
        <w:t>testing facilities</w:t>
      </w:r>
      <w:r w:rsidR="00D2028E">
        <w:t xml:space="preserve"> if there is a lack of domestic testing capacity</w:t>
      </w:r>
      <w:r w:rsidR="006F7148">
        <w:t>.</w:t>
      </w:r>
    </w:p>
    <w:p w14:paraId="504F50E8" w14:textId="5D004855" w:rsidR="006F7148" w:rsidRDefault="006F7148" w:rsidP="00F05000">
      <w:pPr>
        <w:spacing w:before="120"/>
      </w:pPr>
      <w:r>
        <w:t xml:space="preserve">Stability testing commissioned by the ACCC indicates that </w:t>
      </w:r>
      <w:r w:rsidR="009863C8" w:rsidRPr="001B507A">
        <w:t>approximately 70% of</w:t>
      </w:r>
      <w:r w:rsidRPr="00AD2F3D">
        <w:t xml:space="preserve"> products</w:t>
      </w:r>
      <w:r w:rsidRPr="001B507A">
        <w:t xml:space="preserve"> </w:t>
      </w:r>
      <w:r w:rsidR="00B44D23" w:rsidRPr="001B507A">
        <w:t>tested</w:t>
      </w:r>
      <w:r w:rsidRPr="001B507A">
        <w:t xml:space="preserve"> </w:t>
      </w:r>
      <w:r w:rsidR="00B44D23" w:rsidRPr="001B507A">
        <w:t>fail</w:t>
      </w:r>
      <w:r w:rsidR="00DA17AD" w:rsidRPr="001B507A">
        <w:t xml:space="preserve"> the stability testing threshold set out in the</w:t>
      </w:r>
      <w:r w:rsidRPr="001B507A">
        <w:t xml:space="preserve"> current voluntary standards. </w:t>
      </w:r>
      <w:r w:rsidR="00D2028E" w:rsidRPr="001B507A">
        <w:t>As such,</w:t>
      </w:r>
      <w:r w:rsidRPr="001B507A">
        <w:t xml:space="preserve"> </w:t>
      </w:r>
      <w:r w:rsidR="000F52DB" w:rsidRPr="001B507A">
        <w:t xml:space="preserve">if one of these standards were adopted it would </w:t>
      </w:r>
      <w:r w:rsidR="00D2028E" w:rsidRPr="001B507A">
        <w:t xml:space="preserve">likely </w:t>
      </w:r>
      <w:r w:rsidR="000F52DB" w:rsidRPr="001B507A">
        <w:t>cause market disruption</w:t>
      </w:r>
      <w:r w:rsidR="00D2028E" w:rsidRPr="001B507A">
        <w:t xml:space="preserve"> in establishing</w:t>
      </w:r>
      <w:r w:rsidR="00D2028E">
        <w:t xml:space="preserve"> compliance</w:t>
      </w:r>
      <w:r w:rsidR="008D2E97">
        <w:t xml:space="preserve">. </w:t>
      </w:r>
      <w:r w:rsidR="007B40BE">
        <w:t xml:space="preserve">This may reduce consumer choice and </w:t>
      </w:r>
      <w:r w:rsidR="00BD3E86">
        <w:t>affordability and</w:t>
      </w:r>
      <w:r w:rsidR="007B40BE">
        <w:t xml:space="preserve"> cause negative economic impacts to r</w:t>
      </w:r>
      <w:r w:rsidR="008D2E97">
        <w:t>etailers and suppliers</w:t>
      </w:r>
      <w:r w:rsidR="00FB7DA7">
        <w:t xml:space="preserve">. </w:t>
      </w:r>
    </w:p>
    <w:p w14:paraId="3AF17F7B" w14:textId="485890FA" w:rsidR="00FB7DA7" w:rsidRDefault="00FB7DA7" w:rsidP="00F05000">
      <w:pPr>
        <w:spacing w:before="120"/>
      </w:pPr>
      <w:r>
        <w:t>There is some risk in implementing a</w:t>
      </w:r>
      <w:r w:rsidR="00A914DA">
        <w:t xml:space="preserve"> </w:t>
      </w:r>
      <w:r>
        <w:t>safety standard</w:t>
      </w:r>
      <w:r w:rsidR="00A914DA">
        <w:t xml:space="preserve"> specific to the Australian market</w:t>
      </w:r>
      <w:r>
        <w:t xml:space="preserve">. Stakeholders indicated multinational retailers may not have the appetite or capacity to tailor furniture specifically for the relatively small Australian market. </w:t>
      </w:r>
      <w:r w:rsidR="004142B3">
        <w:t>Consequently, it would be preferable to establish a mandatory standard that aligned with relevant international standards</w:t>
      </w:r>
      <w:r w:rsidR="00567BB6">
        <w:t xml:space="preserve"> where appropriate. </w:t>
      </w:r>
      <w:r w:rsidR="006C66DA">
        <w:t xml:space="preserve">Further, any requirement for </w:t>
      </w:r>
      <w:r w:rsidR="006C66DA" w:rsidRPr="00F05000">
        <w:t xml:space="preserve">product redesign </w:t>
      </w:r>
      <w:r w:rsidR="006C66DA">
        <w:t>c</w:t>
      </w:r>
      <w:r w:rsidR="006C66DA" w:rsidRPr="00F05000">
        <w:t xml:space="preserve">ould </w:t>
      </w:r>
      <w:r w:rsidR="00DA17AD">
        <w:t xml:space="preserve">take </w:t>
      </w:r>
      <w:r w:rsidR="006C66DA" w:rsidRPr="00F05000">
        <w:t xml:space="preserve">years to be fully </w:t>
      </w:r>
      <w:r w:rsidR="00DA17AD">
        <w:t>implemented</w:t>
      </w:r>
      <w:r w:rsidR="006C66DA" w:rsidRPr="00F05000">
        <w:t>, due to</w:t>
      </w:r>
      <w:r w:rsidR="006C66DA">
        <w:t xml:space="preserve"> current</w:t>
      </w:r>
      <w:r w:rsidR="006C66DA" w:rsidRPr="00F05000">
        <w:t xml:space="preserve"> constraints in the global supply chain</w:t>
      </w:r>
      <w:r w:rsidR="006C66DA">
        <w:t>.</w:t>
      </w:r>
      <w:r w:rsidR="00D20E6C">
        <w:br/>
      </w:r>
    </w:p>
    <w:p w14:paraId="08BE9294" w14:textId="054EA3F6" w:rsidR="00170444" w:rsidRDefault="00170444" w:rsidP="00F05000">
      <w:pPr>
        <w:spacing w:before="120"/>
      </w:pPr>
    </w:p>
    <w:p w14:paraId="34F4C7B2" w14:textId="77777777" w:rsidR="00170444" w:rsidRDefault="00170444" w:rsidP="00F05000">
      <w:pPr>
        <w:spacing w:before="120"/>
      </w:pPr>
    </w:p>
    <w:p w14:paraId="025A2FA7" w14:textId="298A3BE8" w:rsidR="00E26B5D" w:rsidRDefault="00E26B5D" w:rsidP="00F05000">
      <w:pPr>
        <w:pStyle w:val="Numbered11"/>
        <w:spacing w:before="120"/>
      </w:pPr>
      <w:bookmarkStart w:id="803" w:name="_Toc114143164"/>
      <w:bookmarkStart w:id="804" w:name="_Toc114232864"/>
      <w:bookmarkStart w:id="805" w:name="_Toc114233341"/>
      <w:bookmarkStart w:id="806" w:name="_Toc114233818"/>
      <w:bookmarkStart w:id="807" w:name="_Toc115341491"/>
      <w:bookmarkStart w:id="808" w:name="_Toc115342000"/>
      <w:bookmarkStart w:id="809" w:name="_Toc115342509"/>
      <w:bookmarkStart w:id="810" w:name="_Toc116285840"/>
      <w:bookmarkStart w:id="811" w:name="_Toc116290894"/>
      <w:bookmarkStart w:id="812" w:name="_Toc114143165"/>
      <w:bookmarkStart w:id="813" w:name="_Toc114232865"/>
      <w:bookmarkStart w:id="814" w:name="_Toc114233342"/>
      <w:bookmarkStart w:id="815" w:name="_Toc114233819"/>
      <w:bookmarkStart w:id="816" w:name="_Toc115341492"/>
      <w:bookmarkStart w:id="817" w:name="_Toc115342001"/>
      <w:bookmarkStart w:id="818" w:name="_Toc115342510"/>
      <w:bookmarkStart w:id="819" w:name="_Toc116285841"/>
      <w:bookmarkStart w:id="820" w:name="_Toc116290895"/>
      <w:bookmarkStart w:id="821" w:name="_Toc114143166"/>
      <w:bookmarkStart w:id="822" w:name="_Toc114232866"/>
      <w:bookmarkStart w:id="823" w:name="_Toc114233343"/>
      <w:bookmarkStart w:id="824" w:name="_Toc114233820"/>
      <w:bookmarkStart w:id="825" w:name="_Toc115341493"/>
      <w:bookmarkStart w:id="826" w:name="_Toc115342002"/>
      <w:bookmarkStart w:id="827" w:name="_Toc115342511"/>
      <w:bookmarkStart w:id="828" w:name="_Toc116285842"/>
      <w:bookmarkStart w:id="829" w:name="_Toc116290896"/>
      <w:bookmarkStart w:id="830" w:name="_Toc114143167"/>
      <w:bookmarkStart w:id="831" w:name="_Toc114232867"/>
      <w:bookmarkStart w:id="832" w:name="_Toc114233344"/>
      <w:bookmarkStart w:id="833" w:name="_Toc114233821"/>
      <w:bookmarkStart w:id="834" w:name="_Toc115341494"/>
      <w:bookmarkStart w:id="835" w:name="_Toc115342003"/>
      <w:bookmarkStart w:id="836" w:name="_Toc115342512"/>
      <w:bookmarkStart w:id="837" w:name="_Toc116285843"/>
      <w:bookmarkStart w:id="838" w:name="_Toc116290897"/>
      <w:bookmarkStart w:id="839" w:name="_Toc126074157"/>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r>
        <w:t xml:space="preserve">Issues with </w:t>
      </w:r>
      <w:r w:rsidR="00331F51">
        <w:t>introducing an anchoring device</w:t>
      </w:r>
      <w:bookmarkEnd w:id="839"/>
      <w:r w:rsidR="00331F51">
        <w:t xml:space="preserve"> </w:t>
      </w:r>
    </w:p>
    <w:p w14:paraId="7C983BA0" w14:textId="4C8BB4B0" w:rsidR="00B64023" w:rsidRDefault="00B64023" w:rsidP="00F05000">
      <w:pPr>
        <w:spacing w:before="120"/>
      </w:pPr>
      <w:r>
        <w:t xml:space="preserve">The proposed mandatory information standard </w:t>
      </w:r>
      <w:r w:rsidR="001C77C5">
        <w:t xml:space="preserve">strongly </w:t>
      </w:r>
      <w:r>
        <w:t xml:space="preserve">encourages the use of anchoring </w:t>
      </w:r>
      <w:r w:rsidR="001C77C5">
        <w:t>devices but</w:t>
      </w:r>
      <w:r>
        <w:t xml:space="preserve"> does not </w:t>
      </w:r>
      <w:r w:rsidR="001C77C5">
        <w:t>mandate</w:t>
      </w:r>
      <w:r>
        <w:t xml:space="preserve"> their use or inclusion with a product. While</w:t>
      </w:r>
      <w:r w:rsidR="001C77C5">
        <w:t xml:space="preserve"> </w:t>
      </w:r>
      <w:r w:rsidR="006A0AF7">
        <w:t>furniture</w:t>
      </w:r>
      <w:r w:rsidR="001C77C5">
        <w:t xml:space="preserve"> anchors </w:t>
      </w:r>
      <w:r w:rsidR="00E20098">
        <w:t>can be</w:t>
      </w:r>
      <w:r w:rsidR="001C77C5">
        <w:t xml:space="preserve"> an effective tool to prevent tip</w:t>
      </w:r>
      <w:r w:rsidR="00CC5EF3">
        <w:t>-overs, they</w:t>
      </w:r>
      <w:r w:rsidR="006A0AF7">
        <w:t xml:space="preserve"> are not </w:t>
      </w:r>
      <w:r w:rsidR="00CC5EF3">
        <w:t>practical</w:t>
      </w:r>
      <w:r w:rsidR="00C13D83">
        <w:t>ly an option</w:t>
      </w:r>
      <w:r w:rsidR="00CC5EF3">
        <w:t xml:space="preserve"> for all consumers. </w:t>
      </w:r>
    </w:p>
    <w:p w14:paraId="5BE60A30" w14:textId="1D7279F9" w:rsidR="00FC03FF" w:rsidRPr="00C45FD3" w:rsidRDefault="00CC5EF3" w:rsidP="00F05000">
      <w:pPr>
        <w:spacing w:before="120"/>
      </w:pPr>
      <w:r>
        <w:t xml:space="preserve">Consumers may not have the technical knowledge or ability to correctly install an </w:t>
      </w:r>
      <w:r w:rsidR="0024209D">
        <w:t>anchor device</w:t>
      </w:r>
      <w:r w:rsidR="00424A7C">
        <w:t xml:space="preserve">. To be effective, the anchor device must be attached to the furniture and a wall. This requires the installer to locate and install the anchor in a wooden stud, or otherwise use </w:t>
      </w:r>
      <w:r w:rsidR="00424A7C" w:rsidRPr="00C45FD3">
        <w:t xml:space="preserve">specialised tools and hardware to anchor in a masonry wall. </w:t>
      </w:r>
      <w:r w:rsidR="000D7B9B" w:rsidRPr="00C45FD3">
        <w:t>C</w:t>
      </w:r>
      <w:r w:rsidR="00FC03FF" w:rsidRPr="00C45FD3">
        <w:t xml:space="preserve">onsumers may need to engage a tradesperson, </w:t>
      </w:r>
      <w:r w:rsidR="00567BB6" w:rsidRPr="00C45FD3">
        <w:t>which</w:t>
      </w:r>
      <w:r w:rsidR="00FC03FF" w:rsidRPr="00C45FD3">
        <w:t xml:space="preserve"> may not be affordable</w:t>
      </w:r>
      <w:r w:rsidR="000D7B9B" w:rsidRPr="00C45FD3">
        <w:t xml:space="preserve"> (particularly for vulnerable low socio-economic households)</w:t>
      </w:r>
      <w:r w:rsidR="006A0AF7" w:rsidRPr="00C45FD3">
        <w:t>.</w:t>
      </w:r>
      <w:r w:rsidR="00906050" w:rsidRPr="00C45FD3">
        <w:t xml:space="preserve"> </w:t>
      </w:r>
      <w:r w:rsidR="000D7B9B" w:rsidRPr="00C45FD3">
        <w:t>A</w:t>
      </w:r>
      <w:r w:rsidR="00906050" w:rsidRPr="00C45FD3">
        <w:t xml:space="preserve">nchors that are installed incorrectly may </w:t>
      </w:r>
      <w:r w:rsidR="00742990" w:rsidRPr="00C45FD3">
        <w:t>promote</w:t>
      </w:r>
      <w:r w:rsidR="00906050" w:rsidRPr="00C45FD3">
        <w:t xml:space="preserve"> a false sense of security </w:t>
      </w:r>
      <w:r w:rsidR="00A655F6" w:rsidRPr="00C45FD3">
        <w:t>without mitigating risks to consumers.</w:t>
      </w:r>
    </w:p>
    <w:p w14:paraId="29E253B1" w14:textId="66849710" w:rsidR="00FC03FF" w:rsidRDefault="00FC03FF" w:rsidP="00F05000">
      <w:pPr>
        <w:spacing w:before="120"/>
      </w:pPr>
      <w:r w:rsidRPr="00C45FD3">
        <w:t>Renters in some states may also face barriers in installing anchoring devices, where permission</w:t>
      </w:r>
      <w:r>
        <w:t xml:space="preserve"> is not granted by the landlord.</w:t>
      </w:r>
      <w:r w:rsidR="005473E7">
        <w:t xml:space="preserve"> The ACCC notes there has been positive legislative change in some states to enable renters to make minor modifications to their home without requiring permission from the landlord</w:t>
      </w:r>
      <w:r w:rsidR="006A0AF7">
        <w:t>.</w:t>
      </w:r>
      <w:r w:rsidR="005473E7">
        <w:t xml:space="preserve"> </w:t>
      </w:r>
      <w:r w:rsidR="006A0AF7">
        <w:t>H</w:t>
      </w:r>
      <w:r w:rsidR="005473E7">
        <w:t>owever</w:t>
      </w:r>
      <w:r w:rsidR="006A0AF7">
        <w:t>,</w:t>
      </w:r>
      <w:r w:rsidR="005473E7">
        <w:t xml:space="preserve"> these rights are not yet </w:t>
      </w:r>
      <w:r w:rsidR="00C62B11">
        <w:t>nationally consistent</w:t>
      </w:r>
      <w:r w:rsidR="00672EA7">
        <w:t>, potentially compounding safety inequality.</w:t>
      </w:r>
    </w:p>
    <w:p w14:paraId="05739CD9" w14:textId="5FDA67D1" w:rsidR="0024209D" w:rsidRDefault="0024209D" w:rsidP="00F05000">
      <w:pPr>
        <w:spacing w:before="120"/>
      </w:pPr>
      <w:r>
        <w:t>There is also some concern that</w:t>
      </w:r>
      <w:r w:rsidR="00061B10">
        <w:t xml:space="preserve"> many anchoring devices supplied with products would be immediately disposed of, particularly in residences without young children. When the scale of the storage furniture market is considered, </w:t>
      </w:r>
      <w:r w:rsidR="00385FA2">
        <w:t>this could contribute to waste.</w:t>
      </w:r>
    </w:p>
    <w:p w14:paraId="51BD95A3" w14:textId="7721D209" w:rsidR="00ED2063" w:rsidRDefault="001036C3">
      <w:pPr>
        <w:spacing w:before="120"/>
      </w:pPr>
      <w:bookmarkStart w:id="840" w:name="_Toc114143169"/>
      <w:bookmarkStart w:id="841" w:name="_Toc114232869"/>
      <w:bookmarkStart w:id="842" w:name="_Toc114233346"/>
      <w:bookmarkStart w:id="843" w:name="_Toc114233823"/>
      <w:bookmarkStart w:id="844" w:name="_Toc115341496"/>
      <w:bookmarkStart w:id="845" w:name="_Toc115342005"/>
      <w:bookmarkStart w:id="846" w:name="_Toc115342514"/>
      <w:bookmarkEnd w:id="840"/>
      <w:bookmarkEnd w:id="841"/>
      <w:bookmarkEnd w:id="842"/>
      <w:bookmarkEnd w:id="843"/>
      <w:bookmarkEnd w:id="844"/>
      <w:bookmarkEnd w:id="845"/>
      <w:bookmarkEnd w:id="846"/>
      <w:r>
        <w:t xml:space="preserve">Developing and introducing any anchoring requirements would likely require significant technical </w:t>
      </w:r>
      <w:r w:rsidR="00D55E73">
        <w:t>expertise and</w:t>
      </w:r>
      <w:r>
        <w:t xml:space="preserve"> would be </w:t>
      </w:r>
      <w:r w:rsidR="00112DBA">
        <w:t xml:space="preserve">more effective if </w:t>
      </w:r>
      <w:r>
        <w:t>introduced in tandem with mandatory stability requirements.</w:t>
      </w:r>
      <w:r w:rsidR="00FE6E72">
        <w:t xml:space="preserve"> </w:t>
      </w:r>
      <w:r w:rsidR="009750B9">
        <w:t xml:space="preserve">The </w:t>
      </w:r>
      <w:r w:rsidR="00FE6E72">
        <w:t>ACCC may consider a safety standard incorporating stability requirements in the future, which could also include anchoring requirements to maximise regulatory impact</w:t>
      </w:r>
      <w:r w:rsidR="00AA0EE1">
        <w:t>.</w:t>
      </w:r>
      <w:r w:rsidR="00785725">
        <w:t xml:space="preserve"> </w:t>
      </w:r>
    </w:p>
    <w:p w14:paraId="6783A08C" w14:textId="77777777" w:rsidR="001326AB" w:rsidRDefault="001326AB">
      <w:pPr>
        <w:spacing w:before="120"/>
      </w:pPr>
    </w:p>
    <w:p w14:paraId="683AA388" w14:textId="25B6B507" w:rsidR="00AA0EE1" w:rsidRDefault="00ED2063" w:rsidP="00770572">
      <w:r>
        <w:br w:type="page"/>
      </w:r>
    </w:p>
    <w:p w14:paraId="7C8C5C07" w14:textId="7F0CA271" w:rsidR="001B584E" w:rsidRDefault="00116CC7" w:rsidP="00F05000">
      <w:pPr>
        <w:pStyle w:val="Heading1"/>
        <w:spacing w:before="120"/>
      </w:pPr>
      <w:bookmarkStart w:id="847" w:name="_Toc116285845"/>
      <w:bookmarkStart w:id="848" w:name="_Toc116290899"/>
      <w:bookmarkStart w:id="849" w:name="_Toc114143170"/>
      <w:bookmarkStart w:id="850" w:name="_Toc114232870"/>
      <w:bookmarkStart w:id="851" w:name="_Toc114233347"/>
      <w:bookmarkStart w:id="852" w:name="_Toc114233824"/>
      <w:bookmarkStart w:id="853" w:name="_Toc115341497"/>
      <w:bookmarkStart w:id="854" w:name="_Toc115342006"/>
      <w:bookmarkStart w:id="855" w:name="_Toc115342515"/>
      <w:bookmarkStart w:id="856" w:name="_Toc116285846"/>
      <w:bookmarkStart w:id="857" w:name="_Toc116290900"/>
      <w:bookmarkStart w:id="858" w:name="_Toc114143171"/>
      <w:bookmarkStart w:id="859" w:name="_Toc114232871"/>
      <w:bookmarkStart w:id="860" w:name="_Toc114233348"/>
      <w:bookmarkStart w:id="861" w:name="_Toc114233825"/>
      <w:bookmarkStart w:id="862" w:name="_Toc115341498"/>
      <w:bookmarkStart w:id="863" w:name="_Toc115342007"/>
      <w:bookmarkStart w:id="864" w:name="_Toc115342516"/>
      <w:bookmarkStart w:id="865" w:name="_Toc116285847"/>
      <w:bookmarkStart w:id="866" w:name="_Toc116290901"/>
      <w:bookmarkStart w:id="867" w:name="_Toc114143172"/>
      <w:bookmarkStart w:id="868" w:name="_Toc114232872"/>
      <w:bookmarkStart w:id="869" w:name="_Toc114233349"/>
      <w:bookmarkStart w:id="870" w:name="_Toc114233826"/>
      <w:bookmarkStart w:id="871" w:name="_Toc115341499"/>
      <w:bookmarkStart w:id="872" w:name="_Toc115342008"/>
      <w:bookmarkStart w:id="873" w:name="_Toc115342517"/>
      <w:bookmarkStart w:id="874" w:name="_Toc116285848"/>
      <w:bookmarkStart w:id="875" w:name="_Toc116290902"/>
      <w:bookmarkStart w:id="876" w:name="_Toc114143173"/>
      <w:bookmarkStart w:id="877" w:name="_Toc114232873"/>
      <w:bookmarkStart w:id="878" w:name="_Toc114233350"/>
      <w:bookmarkStart w:id="879" w:name="_Toc114233827"/>
      <w:bookmarkStart w:id="880" w:name="_Toc115341500"/>
      <w:bookmarkStart w:id="881" w:name="_Toc115342009"/>
      <w:bookmarkStart w:id="882" w:name="_Toc115342518"/>
      <w:bookmarkStart w:id="883" w:name="_Toc116285849"/>
      <w:bookmarkStart w:id="884" w:name="_Toc116290903"/>
      <w:bookmarkStart w:id="885" w:name="_Toc114143174"/>
      <w:bookmarkStart w:id="886" w:name="_Toc114232874"/>
      <w:bookmarkStart w:id="887" w:name="_Toc114233351"/>
      <w:bookmarkStart w:id="888" w:name="_Toc114233828"/>
      <w:bookmarkStart w:id="889" w:name="_Toc115341501"/>
      <w:bookmarkStart w:id="890" w:name="_Toc115342010"/>
      <w:bookmarkStart w:id="891" w:name="_Toc115342519"/>
      <w:bookmarkStart w:id="892" w:name="_Toc116285850"/>
      <w:bookmarkStart w:id="893" w:name="_Toc116290904"/>
      <w:bookmarkStart w:id="894" w:name="_Toc114143175"/>
      <w:bookmarkStart w:id="895" w:name="_Toc114232875"/>
      <w:bookmarkStart w:id="896" w:name="_Toc114233352"/>
      <w:bookmarkStart w:id="897" w:name="_Toc114233829"/>
      <w:bookmarkStart w:id="898" w:name="_Toc115341502"/>
      <w:bookmarkStart w:id="899" w:name="_Toc115342011"/>
      <w:bookmarkStart w:id="900" w:name="_Toc115342520"/>
      <w:bookmarkStart w:id="901" w:name="_Toc116285851"/>
      <w:bookmarkStart w:id="902" w:name="_Toc116290905"/>
      <w:bookmarkStart w:id="903" w:name="_Toc114143176"/>
      <w:bookmarkStart w:id="904" w:name="_Toc114232876"/>
      <w:bookmarkStart w:id="905" w:name="_Toc114233353"/>
      <w:bookmarkStart w:id="906" w:name="_Toc114233830"/>
      <w:bookmarkStart w:id="907" w:name="_Toc115341503"/>
      <w:bookmarkStart w:id="908" w:name="_Toc115342012"/>
      <w:bookmarkStart w:id="909" w:name="_Toc115342521"/>
      <w:bookmarkStart w:id="910" w:name="_Toc116285852"/>
      <w:bookmarkStart w:id="911" w:name="_Toc116290906"/>
      <w:bookmarkStart w:id="912" w:name="_Toc114143177"/>
      <w:bookmarkStart w:id="913" w:name="_Toc114232877"/>
      <w:bookmarkStart w:id="914" w:name="_Toc114233354"/>
      <w:bookmarkStart w:id="915" w:name="_Toc114233831"/>
      <w:bookmarkStart w:id="916" w:name="_Toc115341504"/>
      <w:bookmarkStart w:id="917" w:name="_Toc115342013"/>
      <w:bookmarkStart w:id="918" w:name="_Toc115342522"/>
      <w:bookmarkStart w:id="919" w:name="_Toc116285853"/>
      <w:bookmarkStart w:id="920" w:name="_Toc116290907"/>
      <w:bookmarkStart w:id="921" w:name="_Toc114143178"/>
      <w:bookmarkStart w:id="922" w:name="_Toc114232878"/>
      <w:bookmarkStart w:id="923" w:name="_Toc114233355"/>
      <w:bookmarkStart w:id="924" w:name="_Toc114233832"/>
      <w:bookmarkStart w:id="925" w:name="_Toc115341505"/>
      <w:bookmarkStart w:id="926" w:name="_Toc115342014"/>
      <w:bookmarkStart w:id="927" w:name="_Toc115342523"/>
      <w:bookmarkStart w:id="928" w:name="_Toc116285854"/>
      <w:bookmarkStart w:id="929" w:name="_Toc116290908"/>
      <w:bookmarkStart w:id="930" w:name="_Toc114143179"/>
      <w:bookmarkStart w:id="931" w:name="_Toc114232879"/>
      <w:bookmarkStart w:id="932" w:name="_Toc114233356"/>
      <w:bookmarkStart w:id="933" w:name="_Toc114233833"/>
      <w:bookmarkStart w:id="934" w:name="_Toc115341506"/>
      <w:bookmarkStart w:id="935" w:name="_Toc115342015"/>
      <w:bookmarkStart w:id="936" w:name="_Toc115342524"/>
      <w:bookmarkStart w:id="937" w:name="_Toc116285855"/>
      <w:bookmarkStart w:id="938" w:name="_Toc116290909"/>
      <w:bookmarkStart w:id="939" w:name="_Toc114143180"/>
      <w:bookmarkStart w:id="940" w:name="_Toc114232880"/>
      <w:bookmarkStart w:id="941" w:name="_Toc114233357"/>
      <w:bookmarkStart w:id="942" w:name="_Toc114233834"/>
      <w:bookmarkStart w:id="943" w:name="_Toc115341507"/>
      <w:bookmarkStart w:id="944" w:name="_Toc115342016"/>
      <w:bookmarkStart w:id="945" w:name="_Toc115342525"/>
      <w:bookmarkStart w:id="946" w:name="_Toc116285856"/>
      <w:bookmarkStart w:id="947" w:name="_Toc116290910"/>
      <w:bookmarkStart w:id="948" w:name="_Toc114143181"/>
      <w:bookmarkStart w:id="949" w:name="_Toc114232881"/>
      <w:bookmarkStart w:id="950" w:name="_Toc114233358"/>
      <w:bookmarkStart w:id="951" w:name="_Toc114233835"/>
      <w:bookmarkStart w:id="952" w:name="_Toc115341508"/>
      <w:bookmarkStart w:id="953" w:name="_Toc115342017"/>
      <w:bookmarkStart w:id="954" w:name="_Toc115342526"/>
      <w:bookmarkStart w:id="955" w:name="_Toc116285857"/>
      <w:bookmarkStart w:id="956" w:name="_Toc116290911"/>
      <w:bookmarkStart w:id="957" w:name="_Toc114143182"/>
      <w:bookmarkStart w:id="958" w:name="_Toc114232882"/>
      <w:bookmarkStart w:id="959" w:name="_Toc114233359"/>
      <w:bookmarkStart w:id="960" w:name="_Toc114233836"/>
      <w:bookmarkStart w:id="961" w:name="_Toc115341509"/>
      <w:bookmarkStart w:id="962" w:name="_Toc115342018"/>
      <w:bookmarkStart w:id="963" w:name="_Toc115342527"/>
      <w:bookmarkStart w:id="964" w:name="_Toc116285858"/>
      <w:bookmarkStart w:id="965" w:name="_Toc116290912"/>
      <w:bookmarkStart w:id="966" w:name="_Toc114143183"/>
      <w:bookmarkStart w:id="967" w:name="_Toc114232883"/>
      <w:bookmarkStart w:id="968" w:name="_Toc114233360"/>
      <w:bookmarkStart w:id="969" w:name="_Toc114233837"/>
      <w:bookmarkStart w:id="970" w:name="_Toc115341510"/>
      <w:bookmarkStart w:id="971" w:name="_Toc115342019"/>
      <w:bookmarkStart w:id="972" w:name="_Toc115342528"/>
      <w:bookmarkStart w:id="973" w:name="_Toc116285859"/>
      <w:bookmarkStart w:id="974" w:name="_Toc116290913"/>
      <w:bookmarkStart w:id="975" w:name="_Toc114143184"/>
      <w:bookmarkStart w:id="976" w:name="_Toc114232884"/>
      <w:bookmarkStart w:id="977" w:name="_Toc114233361"/>
      <w:bookmarkStart w:id="978" w:name="_Toc114233838"/>
      <w:bookmarkStart w:id="979" w:name="_Toc115341511"/>
      <w:bookmarkStart w:id="980" w:name="_Toc115342020"/>
      <w:bookmarkStart w:id="981" w:name="_Toc115342529"/>
      <w:bookmarkStart w:id="982" w:name="_Toc116285860"/>
      <w:bookmarkStart w:id="983" w:name="_Toc116290914"/>
      <w:bookmarkStart w:id="984" w:name="_Toc114143185"/>
      <w:bookmarkStart w:id="985" w:name="_Toc114232885"/>
      <w:bookmarkStart w:id="986" w:name="_Toc114233362"/>
      <w:bookmarkStart w:id="987" w:name="_Toc114233839"/>
      <w:bookmarkStart w:id="988" w:name="_Toc115341512"/>
      <w:bookmarkStart w:id="989" w:name="_Toc115342021"/>
      <w:bookmarkStart w:id="990" w:name="_Toc115342530"/>
      <w:bookmarkStart w:id="991" w:name="_Toc116285861"/>
      <w:bookmarkStart w:id="992" w:name="_Toc116290915"/>
      <w:bookmarkStart w:id="993" w:name="_Toc114143186"/>
      <w:bookmarkStart w:id="994" w:name="_Toc114232886"/>
      <w:bookmarkStart w:id="995" w:name="_Toc114233363"/>
      <w:bookmarkStart w:id="996" w:name="_Toc114233840"/>
      <w:bookmarkStart w:id="997" w:name="_Toc115341513"/>
      <w:bookmarkStart w:id="998" w:name="_Toc115342022"/>
      <w:bookmarkStart w:id="999" w:name="_Toc115342531"/>
      <w:bookmarkStart w:id="1000" w:name="_Toc116285862"/>
      <w:bookmarkStart w:id="1001" w:name="_Toc116290916"/>
      <w:bookmarkStart w:id="1002" w:name="_Toc114143187"/>
      <w:bookmarkStart w:id="1003" w:name="_Toc114232887"/>
      <w:bookmarkStart w:id="1004" w:name="_Toc114233364"/>
      <w:bookmarkStart w:id="1005" w:name="_Toc114233841"/>
      <w:bookmarkStart w:id="1006" w:name="_Toc115341514"/>
      <w:bookmarkStart w:id="1007" w:name="_Toc115342023"/>
      <w:bookmarkStart w:id="1008" w:name="_Toc115342532"/>
      <w:bookmarkStart w:id="1009" w:name="_Toc116285863"/>
      <w:bookmarkStart w:id="1010" w:name="_Toc116290917"/>
      <w:bookmarkStart w:id="1011" w:name="_Toc114143188"/>
      <w:bookmarkStart w:id="1012" w:name="_Toc114232888"/>
      <w:bookmarkStart w:id="1013" w:name="_Toc114233365"/>
      <w:bookmarkStart w:id="1014" w:name="_Toc114233842"/>
      <w:bookmarkStart w:id="1015" w:name="_Toc115341515"/>
      <w:bookmarkStart w:id="1016" w:name="_Toc115342024"/>
      <w:bookmarkStart w:id="1017" w:name="_Toc115342533"/>
      <w:bookmarkStart w:id="1018" w:name="_Toc116285864"/>
      <w:bookmarkStart w:id="1019" w:name="_Toc116290918"/>
      <w:bookmarkStart w:id="1020" w:name="_Toc114143189"/>
      <w:bookmarkStart w:id="1021" w:name="_Toc114232889"/>
      <w:bookmarkStart w:id="1022" w:name="_Toc114233366"/>
      <w:bookmarkStart w:id="1023" w:name="_Toc114233843"/>
      <w:bookmarkStart w:id="1024" w:name="_Toc115341516"/>
      <w:bookmarkStart w:id="1025" w:name="_Toc115342025"/>
      <w:bookmarkStart w:id="1026" w:name="_Toc115342534"/>
      <w:bookmarkStart w:id="1027" w:name="_Toc116285865"/>
      <w:bookmarkStart w:id="1028" w:name="_Toc116290919"/>
      <w:bookmarkStart w:id="1029" w:name="_Toc114143190"/>
      <w:bookmarkStart w:id="1030" w:name="_Toc114232890"/>
      <w:bookmarkStart w:id="1031" w:name="_Toc114233367"/>
      <w:bookmarkStart w:id="1032" w:name="_Toc114233844"/>
      <w:bookmarkStart w:id="1033" w:name="_Toc115341517"/>
      <w:bookmarkStart w:id="1034" w:name="_Toc115342026"/>
      <w:bookmarkStart w:id="1035" w:name="_Toc115342535"/>
      <w:bookmarkStart w:id="1036" w:name="_Toc116285866"/>
      <w:bookmarkStart w:id="1037" w:name="_Toc116290920"/>
      <w:bookmarkStart w:id="1038" w:name="_Toc114143191"/>
      <w:bookmarkStart w:id="1039" w:name="_Toc114232891"/>
      <w:bookmarkStart w:id="1040" w:name="_Toc114233368"/>
      <w:bookmarkStart w:id="1041" w:name="_Toc114233845"/>
      <w:bookmarkStart w:id="1042" w:name="_Toc115341518"/>
      <w:bookmarkStart w:id="1043" w:name="_Toc115342027"/>
      <w:bookmarkStart w:id="1044" w:name="_Toc115342536"/>
      <w:bookmarkStart w:id="1045" w:name="_Toc116285867"/>
      <w:bookmarkStart w:id="1046" w:name="_Toc116290921"/>
      <w:bookmarkStart w:id="1047" w:name="_Toc114143192"/>
      <w:bookmarkStart w:id="1048" w:name="_Toc114232892"/>
      <w:bookmarkStart w:id="1049" w:name="_Toc114233369"/>
      <w:bookmarkStart w:id="1050" w:name="_Toc114233846"/>
      <w:bookmarkStart w:id="1051" w:name="_Toc115341519"/>
      <w:bookmarkStart w:id="1052" w:name="_Toc115342028"/>
      <w:bookmarkStart w:id="1053" w:name="_Toc115342537"/>
      <w:bookmarkStart w:id="1054" w:name="_Toc116285868"/>
      <w:bookmarkStart w:id="1055" w:name="_Toc116290922"/>
      <w:bookmarkStart w:id="1056" w:name="_Toc114143193"/>
      <w:bookmarkStart w:id="1057" w:name="_Toc114232893"/>
      <w:bookmarkStart w:id="1058" w:name="_Toc114233370"/>
      <w:bookmarkStart w:id="1059" w:name="_Toc114233847"/>
      <w:bookmarkStart w:id="1060" w:name="_Toc115341520"/>
      <w:bookmarkStart w:id="1061" w:name="_Toc115342029"/>
      <w:bookmarkStart w:id="1062" w:name="_Toc115342538"/>
      <w:bookmarkStart w:id="1063" w:name="_Toc116285869"/>
      <w:bookmarkStart w:id="1064" w:name="_Toc116290923"/>
      <w:bookmarkStart w:id="1065" w:name="_Toc114143194"/>
      <w:bookmarkStart w:id="1066" w:name="_Toc114232894"/>
      <w:bookmarkStart w:id="1067" w:name="_Toc114233371"/>
      <w:bookmarkStart w:id="1068" w:name="_Toc114233848"/>
      <w:bookmarkStart w:id="1069" w:name="_Toc115341521"/>
      <w:bookmarkStart w:id="1070" w:name="_Toc115342030"/>
      <w:bookmarkStart w:id="1071" w:name="_Toc115342539"/>
      <w:bookmarkStart w:id="1072" w:name="_Toc116285870"/>
      <w:bookmarkStart w:id="1073" w:name="_Toc116290924"/>
      <w:bookmarkStart w:id="1074" w:name="_Toc114143195"/>
      <w:bookmarkStart w:id="1075" w:name="_Toc114232895"/>
      <w:bookmarkStart w:id="1076" w:name="_Toc114233372"/>
      <w:bookmarkStart w:id="1077" w:name="_Toc114233849"/>
      <w:bookmarkStart w:id="1078" w:name="_Toc115341522"/>
      <w:bookmarkStart w:id="1079" w:name="_Toc115342031"/>
      <w:bookmarkStart w:id="1080" w:name="_Toc115342540"/>
      <w:bookmarkStart w:id="1081" w:name="_Toc116285871"/>
      <w:bookmarkStart w:id="1082" w:name="_Toc116290925"/>
      <w:bookmarkStart w:id="1083" w:name="_Toc114143196"/>
      <w:bookmarkStart w:id="1084" w:name="_Toc114232896"/>
      <w:bookmarkStart w:id="1085" w:name="_Toc114233373"/>
      <w:bookmarkStart w:id="1086" w:name="_Toc114233850"/>
      <w:bookmarkStart w:id="1087" w:name="_Toc115341523"/>
      <w:bookmarkStart w:id="1088" w:name="_Toc115342032"/>
      <w:bookmarkStart w:id="1089" w:name="_Toc115342541"/>
      <w:bookmarkStart w:id="1090" w:name="_Toc116285872"/>
      <w:bookmarkStart w:id="1091" w:name="_Toc116290926"/>
      <w:bookmarkStart w:id="1092" w:name="_Toc114143197"/>
      <w:bookmarkStart w:id="1093" w:name="_Toc114232897"/>
      <w:bookmarkStart w:id="1094" w:name="_Toc114233374"/>
      <w:bookmarkStart w:id="1095" w:name="_Toc114233851"/>
      <w:bookmarkStart w:id="1096" w:name="_Toc115341524"/>
      <w:bookmarkStart w:id="1097" w:name="_Toc115342033"/>
      <w:bookmarkStart w:id="1098" w:name="_Toc115342542"/>
      <w:bookmarkStart w:id="1099" w:name="_Toc116285873"/>
      <w:bookmarkStart w:id="1100" w:name="_Toc116290927"/>
      <w:bookmarkStart w:id="1101" w:name="_Toc114143198"/>
      <w:bookmarkStart w:id="1102" w:name="_Toc114232898"/>
      <w:bookmarkStart w:id="1103" w:name="_Toc114233375"/>
      <w:bookmarkStart w:id="1104" w:name="_Toc114233852"/>
      <w:bookmarkStart w:id="1105" w:name="_Toc115341525"/>
      <w:bookmarkStart w:id="1106" w:name="_Toc115342034"/>
      <w:bookmarkStart w:id="1107" w:name="_Toc115342543"/>
      <w:bookmarkStart w:id="1108" w:name="_Toc116285874"/>
      <w:bookmarkStart w:id="1109" w:name="_Toc116290928"/>
      <w:bookmarkStart w:id="1110" w:name="_Toc114143199"/>
      <w:bookmarkStart w:id="1111" w:name="_Toc114232899"/>
      <w:bookmarkStart w:id="1112" w:name="_Toc114233376"/>
      <w:bookmarkStart w:id="1113" w:name="_Toc114233853"/>
      <w:bookmarkStart w:id="1114" w:name="_Toc115341526"/>
      <w:bookmarkStart w:id="1115" w:name="_Toc115342035"/>
      <w:bookmarkStart w:id="1116" w:name="_Toc115342544"/>
      <w:bookmarkStart w:id="1117" w:name="_Toc116285875"/>
      <w:bookmarkStart w:id="1118" w:name="_Toc116290929"/>
      <w:bookmarkStart w:id="1119" w:name="_Toc114143200"/>
      <w:bookmarkStart w:id="1120" w:name="_Toc114232900"/>
      <w:bookmarkStart w:id="1121" w:name="_Toc114233377"/>
      <w:bookmarkStart w:id="1122" w:name="_Toc114233854"/>
      <w:bookmarkStart w:id="1123" w:name="_Toc115341527"/>
      <w:bookmarkStart w:id="1124" w:name="_Toc115342036"/>
      <w:bookmarkStart w:id="1125" w:name="_Toc115342545"/>
      <w:bookmarkStart w:id="1126" w:name="_Toc116285876"/>
      <w:bookmarkStart w:id="1127" w:name="_Toc116290930"/>
      <w:bookmarkStart w:id="1128" w:name="_Toc114143201"/>
      <w:bookmarkStart w:id="1129" w:name="_Toc114232901"/>
      <w:bookmarkStart w:id="1130" w:name="_Toc114233378"/>
      <w:bookmarkStart w:id="1131" w:name="_Toc114233855"/>
      <w:bookmarkStart w:id="1132" w:name="_Toc115341528"/>
      <w:bookmarkStart w:id="1133" w:name="_Toc115342037"/>
      <w:bookmarkStart w:id="1134" w:name="_Toc115342546"/>
      <w:bookmarkStart w:id="1135" w:name="_Toc116285877"/>
      <w:bookmarkStart w:id="1136" w:name="_Toc116290931"/>
      <w:bookmarkStart w:id="1137" w:name="_Toc114143202"/>
      <w:bookmarkStart w:id="1138" w:name="_Toc114232902"/>
      <w:bookmarkStart w:id="1139" w:name="_Toc114233379"/>
      <w:bookmarkStart w:id="1140" w:name="_Toc114233856"/>
      <w:bookmarkStart w:id="1141" w:name="_Toc115341529"/>
      <w:bookmarkStart w:id="1142" w:name="_Toc115342038"/>
      <w:bookmarkStart w:id="1143" w:name="_Toc115342547"/>
      <w:bookmarkStart w:id="1144" w:name="_Toc116285878"/>
      <w:bookmarkStart w:id="1145" w:name="_Toc116290932"/>
      <w:bookmarkStart w:id="1146" w:name="_Toc114143203"/>
      <w:bookmarkStart w:id="1147" w:name="_Toc114232903"/>
      <w:bookmarkStart w:id="1148" w:name="_Toc114233380"/>
      <w:bookmarkStart w:id="1149" w:name="_Toc114233857"/>
      <w:bookmarkStart w:id="1150" w:name="_Toc115341530"/>
      <w:bookmarkStart w:id="1151" w:name="_Toc115342039"/>
      <w:bookmarkStart w:id="1152" w:name="_Toc115342548"/>
      <w:bookmarkStart w:id="1153" w:name="_Toc116285879"/>
      <w:bookmarkStart w:id="1154" w:name="_Toc116290933"/>
      <w:bookmarkStart w:id="1155" w:name="_Toc114143204"/>
      <w:bookmarkStart w:id="1156" w:name="_Toc114232904"/>
      <w:bookmarkStart w:id="1157" w:name="_Toc114233381"/>
      <w:bookmarkStart w:id="1158" w:name="_Toc114233858"/>
      <w:bookmarkStart w:id="1159" w:name="_Toc115341531"/>
      <w:bookmarkStart w:id="1160" w:name="_Toc115342040"/>
      <w:bookmarkStart w:id="1161" w:name="_Toc115342549"/>
      <w:bookmarkStart w:id="1162" w:name="_Toc116285880"/>
      <w:bookmarkStart w:id="1163" w:name="_Toc116290934"/>
      <w:bookmarkStart w:id="1164" w:name="_Toc114143205"/>
      <w:bookmarkStart w:id="1165" w:name="_Toc114232905"/>
      <w:bookmarkStart w:id="1166" w:name="_Toc114233382"/>
      <w:bookmarkStart w:id="1167" w:name="_Toc114233859"/>
      <w:bookmarkStart w:id="1168" w:name="_Toc115341532"/>
      <w:bookmarkStart w:id="1169" w:name="_Toc115342041"/>
      <w:bookmarkStart w:id="1170" w:name="_Toc115342550"/>
      <w:bookmarkStart w:id="1171" w:name="_Toc116285881"/>
      <w:bookmarkStart w:id="1172" w:name="_Toc116290935"/>
      <w:bookmarkStart w:id="1173" w:name="_Toc114143206"/>
      <w:bookmarkStart w:id="1174" w:name="_Toc114232906"/>
      <w:bookmarkStart w:id="1175" w:name="_Toc114233383"/>
      <w:bookmarkStart w:id="1176" w:name="_Toc114233860"/>
      <w:bookmarkStart w:id="1177" w:name="_Toc115341533"/>
      <w:bookmarkStart w:id="1178" w:name="_Toc115342042"/>
      <w:bookmarkStart w:id="1179" w:name="_Toc115342551"/>
      <w:bookmarkStart w:id="1180" w:name="_Toc116285882"/>
      <w:bookmarkStart w:id="1181" w:name="_Toc116290936"/>
      <w:bookmarkStart w:id="1182" w:name="_Toc114143207"/>
      <w:bookmarkStart w:id="1183" w:name="_Toc114232907"/>
      <w:bookmarkStart w:id="1184" w:name="_Toc114233384"/>
      <w:bookmarkStart w:id="1185" w:name="_Toc114233861"/>
      <w:bookmarkStart w:id="1186" w:name="_Toc115341534"/>
      <w:bookmarkStart w:id="1187" w:name="_Toc115342043"/>
      <w:bookmarkStart w:id="1188" w:name="_Toc115342552"/>
      <w:bookmarkStart w:id="1189" w:name="_Toc116285883"/>
      <w:bookmarkStart w:id="1190" w:name="_Toc116290937"/>
      <w:bookmarkStart w:id="1191" w:name="_Toc114143208"/>
      <w:bookmarkStart w:id="1192" w:name="_Toc114232908"/>
      <w:bookmarkStart w:id="1193" w:name="_Toc114233385"/>
      <w:bookmarkStart w:id="1194" w:name="_Toc114233862"/>
      <w:bookmarkStart w:id="1195" w:name="_Toc115341535"/>
      <w:bookmarkStart w:id="1196" w:name="_Toc115342044"/>
      <w:bookmarkStart w:id="1197" w:name="_Toc115342553"/>
      <w:bookmarkStart w:id="1198" w:name="_Toc116285884"/>
      <w:bookmarkStart w:id="1199" w:name="_Toc116290938"/>
      <w:bookmarkStart w:id="1200" w:name="_Toc114143209"/>
      <w:bookmarkStart w:id="1201" w:name="_Toc114232909"/>
      <w:bookmarkStart w:id="1202" w:name="_Toc114233386"/>
      <w:bookmarkStart w:id="1203" w:name="_Toc114233863"/>
      <w:bookmarkStart w:id="1204" w:name="_Toc115341536"/>
      <w:bookmarkStart w:id="1205" w:name="_Toc115342045"/>
      <w:bookmarkStart w:id="1206" w:name="_Toc115342554"/>
      <w:bookmarkStart w:id="1207" w:name="_Toc116285885"/>
      <w:bookmarkStart w:id="1208" w:name="_Toc116290939"/>
      <w:bookmarkStart w:id="1209" w:name="_Toc114143210"/>
      <w:bookmarkStart w:id="1210" w:name="_Toc114232910"/>
      <w:bookmarkStart w:id="1211" w:name="_Toc114233387"/>
      <w:bookmarkStart w:id="1212" w:name="_Toc114233864"/>
      <w:bookmarkStart w:id="1213" w:name="_Toc115341537"/>
      <w:bookmarkStart w:id="1214" w:name="_Toc115342046"/>
      <w:bookmarkStart w:id="1215" w:name="_Toc115342555"/>
      <w:bookmarkStart w:id="1216" w:name="_Toc116285886"/>
      <w:bookmarkStart w:id="1217" w:name="_Toc116290940"/>
      <w:bookmarkStart w:id="1218" w:name="_Toc114143211"/>
      <w:bookmarkStart w:id="1219" w:name="_Toc114232911"/>
      <w:bookmarkStart w:id="1220" w:name="_Toc114233388"/>
      <w:bookmarkStart w:id="1221" w:name="_Toc114233865"/>
      <w:bookmarkStart w:id="1222" w:name="_Toc115341538"/>
      <w:bookmarkStart w:id="1223" w:name="_Toc115342047"/>
      <w:bookmarkStart w:id="1224" w:name="_Toc115342556"/>
      <w:bookmarkStart w:id="1225" w:name="_Toc116285887"/>
      <w:bookmarkStart w:id="1226" w:name="_Toc116290941"/>
      <w:bookmarkStart w:id="1227" w:name="_Toc114143212"/>
      <w:bookmarkStart w:id="1228" w:name="_Toc114232912"/>
      <w:bookmarkStart w:id="1229" w:name="_Toc114233389"/>
      <w:bookmarkStart w:id="1230" w:name="_Toc114233866"/>
      <w:bookmarkStart w:id="1231" w:name="_Toc115341539"/>
      <w:bookmarkStart w:id="1232" w:name="_Toc115342048"/>
      <w:bookmarkStart w:id="1233" w:name="_Toc115342557"/>
      <w:bookmarkStart w:id="1234" w:name="_Toc116285888"/>
      <w:bookmarkStart w:id="1235" w:name="_Toc116290942"/>
      <w:bookmarkStart w:id="1236" w:name="_Toc114143213"/>
      <w:bookmarkStart w:id="1237" w:name="_Toc114232913"/>
      <w:bookmarkStart w:id="1238" w:name="_Toc114233390"/>
      <w:bookmarkStart w:id="1239" w:name="_Toc114233867"/>
      <w:bookmarkStart w:id="1240" w:name="_Toc115341540"/>
      <w:bookmarkStart w:id="1241" w:name="_Toc115342049"/>
      <w:bookmarkStart w:id="1242" w:name="_Toc115342558"/>
      <w:bookmarkStart w:id="1243" w:name="_Toc116285889"/>
      <w:bookmarkStart w:id="1244" w:name="_Toc116290943"/>
      <w:bookmarkStart w:id="1245" w:name="_Toc114143241"/>
      <w:bookmarkStart w:id="1246" w:name="_Toc114232941"/>
      <w:bookmarkStart w:id="1247" w:name="_Toc114233418"/>
      <w:bookmarkStart w:id="1248" w:name="_Toc114233895"/>
      <w:bookmarkStart w:id="1249" w:name="_Toc115341568"/>
      <w:bookmarkStart w:id="1250" w:name="_Toc115342077"/>
      <w:bookmarkStart w:id="1251" w:name="_Toc115342586"/>
      <w:bookmarkStart w:id="1252" w:name="_Toc116285917"/>
      <w:bookmarkStart w:id="1253" w:name="_Toc116290971"/>
      <w:bookmarkStart w:id="1254" w:name="_Toc114143242"/>
      <w:bookmarkStart w:id="1255" w:name="_Toc114232942"/>
      <w:bookmarkStart w:id="1256" w:name="_Toc114233419"/>
      <w:bookmarkStart w:id="1257" w:name="_Toc114233896"/>
      <w:bookmarkStart w:id="1258" w:name="_Toc115341569"/>
      <w:bookmarkStart w:id="1259" w:name="_Toc115342078"/>
      <w:bookmarkStart w:id="1260" w:name="_Toc115342587"/>
      <w:bookmarkStart w:id="1261" w:name="_Toc116285918"/>
      <w:bookmarkStart w:id="1262" w:name="_Toc116290972"/>
      <w:bookmarkStart w:id="1263" w:name="_Toc114143243"/>
      <w:bookmarkStart w:id="1264" w:name="_Toc114232943"/>
      <w:bookmarkStart w:id="1265" w:name="_Toc114233420"/>
      <w:bookmarkStart w:id="1266" w:name="_Toc114233897"/>
      <w:bookmarkStart w:id="1267" w:name="_Toc115341570"/>
      <w:bookmarkStart w:id="1268" w:name="_Toc115342079"/>
      <w:bookmarkStart w:id="1269" w:name="_Toc115342588"/>
      <w:bookmarkStart w:id="1270" w:name="_Toc116285919"/>
      <w:bookmarkStart w:id="1271" w:name="_Toc116290973"/>
      <w:bookmarkStart w:id="1272" w:name="_Toc114143244"/>
      <w:bookmarkStart w:id="1273" w:name="_Toc114232944"/>
      <w:bookmarkStart w:id="1274" w:name="_Toc114233421"/>
      <w:bookmarkStart w:id="1275" w:name="_Toc114233898"/>
      <w:bookmarkStart w:id="1276" w:name="_Toc115341571"/>
      <w:bookmarkStart w:id="1277" w:name="_Toc115342080"/>
      <w:bookmarkStart w:id="1278" w:name="_Toc115342589"/>
      <w:bookmarkStart w:id="1279" w:name="_Toc116285920"/>
      <w:bookmarkStart w:id="1280" w:name="_Toc116290974"/>
      <w:bookmarkStart w:id="1281" w:name="_Toc114143245"/>
      <w:bookmarkStart w:id="1282" w:name="_Toc114232945"/>
      <w:bookmarkStart w:id="1283" w:name="_Toc114233422"/>
      <w:bookmarkStart w:id="1284" w:name="_Toc114233899"/>
      <w:bookmarkStart w:id="1285" w:name="_Toc115341572"/>
      <w:bookmarkStart w:id="1286" w:name="_Toc115342081"/>
      <w:bookmarkStart w:id="1287" w:name="_Toc115342590"/>
      <w:bookmarkStart w:id="1288" w:name="_Toc116285921"/>
      <w:bookmarkStart w:id="1289" w:name="_Toc116290975"/>
      <w:bookmarkStart w:id="1290" w:name="_Toc114143246"/>
      <w:bookmarkStart w:id="1291" w:name="_Toc114232946"/>
      <w:bookmarkStart w:id="1292" w:name="_Toc114233423"/>
      <w:bookmarkStart w:id="1293" w:name="_Toc114233900"/>
      <w:bookmarkStart w:id="1294" w:name="_Toc115341573"/>
      <w:bookmarkStart w:id="1295" w:name="_Toc115342082"/>
      <w:bookmarkStart w:id="1296" w:name="_Toc115342591"/>
      <w:bookmarkStart w:id="1297" w:name="_Toc116285922"/>
      <w:bookmarkStart w:id="1298" w:name="_Toc116290976"/>
      <w:bookmarkStart w:id="1299" w:name="_Toc114143247"/>
      <w:bookmarkStart w:id="1300" w:name="_Toc114232947"/>
      <w:bookmarkStart w:id="1301" w:name="_Toc114233424"/>
      <w:bookmarkStart w:id="1302" w:name="_Toc114233901"/>
      <w:bookmarkStart w:id="1303" w:name="_Toc115341574"/>
      <w:bookmarkStart w:id="1304" w:name="_Toc115342083"/>
      <w:bookmarkStart w:id="1305" w:name="_Toc115342592"/>
      <w:bookmarkStart w:id="1306" w:name="_Toc116285923"/>
      <w:bookmarkStart w:id="1307" w:name="_Toc116290977"/>
      <w:bookmarkStart w:id="1308" w:name="_Toc114143248"/>
      <w:bookmarkStart w:id="1309" w:name="_Toc114232948"/>
      <w:bookmarkStart w:id="1310" w:name="_Toc114233425"/>
      <w:bookmarkStart w:id="1311" w:name="_Toc114233902"/>
      <w:bookmarkStart w:id="1312" w:name="_Toc115341575"/>
      <w:bookmarkStart w:id="1313" w:name="_Toc115342084"/>
      <w:bookmarkStart w:id="1314" w:name="_Toc115342593"/>
      <w:bookmarkStart w:id="1315" w:name="_Toc116285924"/>
      <w:bookmarkStart w:id="1316" w:name="_Toc116290978"/>
      <w:bookmarkStart w:id="1317" w:name="_Toc114143249"/>
      <w:bookmarkStart w:id="1318" w:name="_Toc114232949"/>
      <w:bookmarkStart w:id="1319" w:name="_Toc114233426"/>
      <w:bookmarkStart w:id="1320" w:name="_Toc114233903"/>
      <w:bookmarkStart w:id="1321" w:name="_Toc115341576"/>
      <w:bookmarkStart w:id="1322" w:name="_Toc115342085"/>
      <w:bookmarkStart w:id="1323" w:name="_Toc115342594"/>
      <w:bookmarkStart w:id="1324" w:name="_Toc116285925"/>
      <w:bookmarkStart w:id="1325" w:name="_Toc116290979"/>
      <w:bookmarkStart w:id="1326" w:name="_Toc114143250"/>
      <w:bookmarkStart w:id="1327" w:name="_Toc114232950"/>
      <w:bookmarkStart w:id="1328" w:name="_Toc114233427"/>
      <w:bookmarkStart w:id="1329" w:name="_Toc114233904"/>
      <w:bookmarkStart w:id="1330" w:name="_Toc115341577"/>
      <w:bookmarkStart w:id="1331" w:name="_Toc115342086"/>
      <w:bookmarkStart w:id="1332" w:name="_Toc115342595"/>
      <w:bookmarkStart w:id="1333" w:name="_Toc116285926"/>
      <w:bookmarkStart w:id="1334" w:name="_Toc116290980"/>
      <w:bookmarkStart w:id="1335" w:name="_Toc114143251"/>
      <w:bookmarkStart w:id="1336" w:name="_Toc114232951"/>
      <w:bookmarkStart w:id="1337" w:name="_Toc114233428"/>
      <w:bookmarkStart w:id="1338" w:name="_Toc114233905"/>
      <w:bookmarkStart w:id="1339" w:name="_Toc115341578"/>
      <w:bookmarkStart w:id="1340" w:name="_Toc115342087"/>
      <w:bookmarkStart w:id="1341" w:name="_Toc115342596"/>
      <w:bookmarkStart w:id="1342" w:name="_Toc116285927"/>
      <w:bookmarkStart w:id="1343" w:name="_Toc116290981"/>
      <w:bookmarkStart w:id="1344" w:name="_Toc114143252"/>
      <w:bookmarkStart w:id="1345" w:name="_Toc114232952"/>
      <w:bookmarkStart w:id="1346" w:name="_Toc114233429"/>
      <w:bookmarkStart w:id="1347" w:name="_Toc114233906"/>
      <w:bookmarkStart w:id="1348" w:name="_Toc115341579"/>
      <w:bookmarkStart w:id="1349" w:name="_Toc115342088"/>
      <w:bookmarkStart w:id="1350" w:name="_Toc115342597"/>
      <w:bookmarkStart w:id="1351" w:name="_Toc116285928"/>
      <w:bookmarkStart w:id="1352" w:name="_Toc116290982"/>
      <w:bookmarkStart w:id="1353" w:name="_Toc114143253"/>
      <w:bookmarkStart w:id="1354" w:name="_Toc114232953"/>
      <w:bookmarkStart w:id="1355" w:name="_Toc114233430"/>
      <w:bookmarkStart w:id="1356" w:name="_Toc114233907"/>
      <w:bookmarkStart w:id="1357" w:name="_Toc115341580"/>
      <w:bookmarkStart w:id="1358" w:name="_Toc115342089"/>
      <w:bookmarkStart w:id="1359" w:name="_Toc115342598"/>
      <w:bookmarkStart w:id="1360" w:name="_Toc116285929"/>
      <w:bookmarkStart w:id="1361" w:name="_Toc116290983"/>
      <w:bookmarkStart w:id="1362" w:name="_Toc114143254"/>
      <w:bookmarkStart w:id="1363" w:name="_Toc114232954"/>
      <w:bookmarkStart w:id="1364" w:name="_Toc114233431"/>
      <w:bookmarkStart w:id="1365" w:name="_Toc114233908"/>
      <w:bookmarkStart w:id="1366" w:name="_Toc115341581"/>
      <w:bookmarkStart w:id="1367" w:name="_Toc115342090"/>
      <w:bookmarkStart w:id="1368" w:name="_Toc115342599"/>
      <w:bookmarkStart w:id="1369" w:name="_Toc116285930"/>
      <w:bookmarkStart w:id="1370" w:name="_Toc116290984"/>
      <w:bookmarkStart w:id="1371" w:name="_Toc114143255"/>
      <w:bookmarkStart w:id="1372" w:name="_Toc114232955"/>
      <w:bookmarkStart w:id="1373" w:name="_Toc114233432"/>
      <w:bookmarkStart w:id="1374" w:name="_Toc114233909"/>
      <w:bookmarkStart w:id="1375" w:name="_Toc115341582"/>
      <w:bookmarkStart w:id="1376" w:name="_Toc115342091"/>
      <w:bookmarkStart w:id="1377" w:name="_Toc115342600"/>
      <w:bookmarkStart w:id="1378" w:name="_Toc116285931"/>
      <w:bookmarkStart w:id="1379" w:name="_Toc116290985"/>
      <w:bookmarkStart w:id="1380" w:name="_Toc114143256"/>
      <w:bookmarkStart w:id="1381" w:name="_Toc114232956"/>
      <w:bookmarkStart w:id="1382" w:name="_Toc114233433"/>
      <w:bookmarkStart w:id="1383" w:name="_Toc114233910"/>
      <w:bookmarkStart w:id="1384" w:name="_Toc115341583"/>
      <w:bookmarkStart w:id="1385" w:name="_Toc115342092"/>
      <w:bookmarkStart w:id="1386" w:name="_Toc115342601"/>
      <w:bookmarkStart w:id="1387" w:name="_Toc116285932"/>
      <w:bookmarkStart w:id="1388" w:name="_Toc116290986"/>
      <w:bookmarkStart w:id="1389" w:name="_Toc114143257"/>
      <w:bookmarkStart w:id="1390" w:name="_Toc114232957"/>
      <w:bookmarkStart w:id="1391" w:name="_Toc114233434"/>
      <w:bookmarkStart w:id="1392" w:name="_Toc114233911"/>
      <w:bookmarkStart w:id="1393" w:name="_Toc115341584"/>
      <w:bookmarkStart w:id="1394" w:name="_Toc115342093"/>
      <w:bookmarkStart w:id="1395" w:name="_Toc115342602"/>
      <w:bookmarkStart w:id="1396" w:name="_Toc116285933"/>
      <w:bookmarkStart w:id="1397" w:name="_Toc116290987"/>
      <w:bookmarkStart w:id="1398" w:name="_Toc114143258"/>
      <w:bookmarkStart w:id="1399" w:name="_Toc114232958"/>
      <w:bookmarkStart w:id="1400" w:name="_Toc114233435"/>
      <w:bookmarkStart w:id="1401" w:name="_Toc114233912"/>
      <w:bookmarkStart w:id="1402" w:name="_Toc115341585"/>
      <w:bookmarkStart w:id="1403" w:name="_Toc115342094"/>
      <w:bookmarkStart w:id="1404" w:name="_Toc115342603"/>
      <w:bookmarkStart w:id="1405" w:name="_Toc116285934"/>
      <w:bookmarkStart w:id="1406" w:name="_Toc116290988"/>
      <w:bookmarkStart w:id="1407" w:name="_Toc114143259"/>
      <w:bookmarkStart w:id="1408" w:name="_Toc114232959"/>
      <w:bookmarkStart w:id="1409" w:name="_Toc114233436"/>
      <w:bookmarkStart w:id="1410" w:name="_Toc114233913"/>
      <w:bookmarkStart w:id="1411" w:name="_Toc115341586"/>
      <w:bookmarkStart w:id="1412" w:name="_Toc115342095"/>
      <w:bookmarkStart w:id="1413" w:name="_Toc115342604"/>
      <w:bookmarkStart w:id="1414" w:name="_Toc116285935"/>
      <w:bookmarkStart w:id="1415" w:name="_Toc116290989"/>
      <w:bookmarkStart w:id="1416" w:name="_Toc114143260"/>
      <w:bookmarkStart w:id="1417" w:name="_Toc114232960"/>
      <w:bookmarkStart w:id="1418" w:name="_Toc114233437"/>
      <w:bookmarkStart w:id="1419" w:name="_Toc114233914"/>
      <w:bookmarkStart w:id="1420" w:name="_Toc115341587"/>
      <w:bookmarkStart w:id="1421" w:name="_Toc115342096"/>
      <w:bookmarkStart w:id="1422" w:name="_Toc115342605"/>
      <w:bookmarkStart w:id="1423" w:name="_Toc116285936"/>
      <w:bookmarkStart w:id="1424" w:name="_Toc116290990"/>
      <w:bookmarkStart w:id="1425" w:name="_Toc114143261"/>
      <w:bookmarkStart w:id="1426" w:name="_Toc114232961"/>
      <w:bookmarkStart w:id="1427" w:name="_Toc114233438"/>
      <w:bookmarkStart w:id="1428" w:name="_Toc114233915"/>
      <w:bookmarkStart w:id="1429" w:name="_Toc115341588"/>
      <w:bookmarkStart w:id="1430" w:name="_Toc115342097"/>
      <w:bookmarkStart w:id="1431" w:name="_Toc115342606"/>
      <w:bookmarkStart w:id="1432" w:name="_Toc116285937"/>
      <w:bookmarkStart w:id="1433" w:name="_Toc116290991"/>
      <w:bookmarkStart w:id="1434" w:name="_Toc114143262"/>
      <w:bookmarkStart w:id="1435" w:name="_Toc114232962"/>
      <w:bookmarkStart w:id="1436" w:name="_Toc114233439"/>
      <w:bookmarkStart w:id="1437" w:name="_Toc114233916"/>
      <w:bookmarkStart w:id="1438" w:name="_Toc115341589"/>
      <w:bookmarkStart w:id="1439" w:name="_Toc115342098"/>
      <w:bookmarkStart w:id="1440" w:name="_Toc115342607"/>
      <w:bookmarkStart w:id="1441" w:name="_Toc116285938"/>
      <w:bookmarkStart w:id="1442" w:name="_Toc116290992"/>
      <w:bookmarkStart w:id="1443" w:name="_Toc114143263"/>
      <w:bookmarkStart w:id="1444" w:name="_Toc114232963"/>
      <w:bookmarkStart w:id="1445" w:name="_Toc114233440"/>
      <w:bookmarkStart w:id="1446" w:name="_Toc114233917"/>
      <w:bookmarkStart w:id="1447" w:name="_Toc115341590"/>
      <w:bookmarkStart w:id="1448" w:name="_Toc115342099"/>
      <w:bookmarkStart w:id="1449" w:name="_Toc115342608"/>
      <w:bookmarkStart w:id="1450" w:name="_Toc116285939"/>
      <w:bookmarkStart w:id="1451" w:name="_Toc116290993"/>
      <w:bookmarkStart w:id="1452" w:name="_Toc114143264"/>
      <w:bookmarkStart w:id="1453" w:name="_Toc114232964"/>
      <w:bookmarkStart w:id="1454" w:name="_Toc114233441"/>
      <w:bookmarkStart w:id="1455" w:name="_Toc114233918"/>
      <w:bookmarkStart w:id="1456" w:name="_Toc115341591"/>
      <w:bookmarkStart w:id="1457" w:name="_Toc115342100"/>
      <w:bookmarkStart w:id="1458" w:name="_Toc115342609"/>
      <w:bookmarkStart w:id="1459" w:name="_Toc116285940"/>
      <w:bookmarkStart w:id="1460" w:name="_Toc116290994"/>
      <w:bookmarkStart w:id="1461" w:name="_Toc114143265"/>
      <w:bookmarkStart w:id="1462" w:name="_Toc114232965"/>
      <w:bookmarkStart w:id="1463" w:name="_Toc114233442"/>
      <w:bookmarkStart w:id="1464" w:name="_Toc114233919"/>
      <w:bookmarkStart w:id="1465" w:name="_Toc115341592"/>
      <w:bookmarkStart w:id="1466" w:name="_Toc115342101"/>
      <w:bookmarkStart w:id="1467" w:name="_Toc115342610"/>
      <w:bookmarkStart w:id="1468" w:name="_Toc116285941"/>
      <w:bookmarkStart w:id="1469" w:name="_Toc116290995"/>
      <w:bookmarkStart w:id="1470" w:name="_Toc114143266"/>
      <w:bookmarkStart w:id="1471" w:name="_Toc114232966"/>
      <w:bookmarkStart w:id="1472" w:name="_Toc114233443"/>
      <w:bookmarkStart w:id="1473" w:name="_Toc114233920"/>
      <w:bookmarkStart w:id="1474" w:name="_Toc115341593"/>
      <w:bookmarkStart w:id="1475" w:name="_Toc115342102"/>
      <w:bookmarkStart w:id="1476" w:name="_Toc115342611"/>
      <w:bookmarkStart w:id="1477" w:name="_Toc116285942"/>
      <w:bookmarkStart w:id="1478" w:name="_Toc116290996"/>
      <w:bookmarkStart w:id="1479" w:name="_Toc114143267"/>
      <w:bookmarkStart w:id="1480" w:name="_Toc114232967"/>
      <w:bookmarkStart w:id="1481" w:name="_Toc114233444"/>
      <w:bookmarkStart w:id="1482" w:name="_Toc114233921"/>
      <w:bookmarkStart w:id="1483" w:name="_Toc115341594"/>
      <w:bookmarkStart w:id="1484" w:name="_Toc115342103"/>
      <w:bookmarkStart w:id="1485" w:name="_Toc115342612"/>
      <w:bookmarkStart w:id="1486" w:name="_Toc116285943"/>
      <w:bookmarkStart w:id="1487" w:name="_Toc116290997"/>
      <w:bookmarkStart w:id="1488" w:name="_Toc114143268"/>
      <w:bookmarkStart w:id="1489" w:name="_Toc114232968"/>
      <w:bookmarkStart w:id="1490" w:name="_Toc114233445"/>
      <w:bookmarkStart w:id="1491" w:name="_Toc114233922"/>
      <w:bookmarkStart w:id="1492" w:name="_Toc115341595"/>
      <w:bookmarkStart w:id="1493" w:name="_Toc115342104"/>
      <w:bookmarkStart w:id="1494" w:name="_Toc115342613"/>
      <w:bookmarkStart w:id="1495" w:name="_Toc116285944"/>
      <w:bookmarkStart w:id="1496" w:name="_Toc116290998"/>
      <w:bookmarkStart w:id="1497" w:name="_Toc114143269"/>
      <w:bookmarkStart w:id="1498" w:name="_Toc114232969"/>
      <w:bookmarkStart w:id="1499" w:name="_Toc114233446"/>
      <w:bookmarkStart w:id="1500" w:name="_Toc114233923"/>
      <w:bookmarkStart w:id="1501" w:name="_Toc115341596"/>
      <w:bookmarkStart w:id="1502" w:name="_Toc115342105"/>
      <w:bookmarkStart w:id="1503" w:name="_Toc115342614"/>
      <w:bookmarkStart w:id="1504" w:name="_Toc116285945"/>
      <w:bookmarkStart w:id="1505" w:name="_Toc116290999"/>
      <w:bookmarkStart w:id="1506" w:name="_Toc114143270"/>
      <w:bookmarkStart w:id="1507" w:name="_Toc114232970"/>
      <w:bookmarkStart w:id="1508" w:name="_Toc114233447"/>
      <w:bookmarkStart w:id="1509" w:name="_Toc114233924"/>
      <w:bookmarkStart w:id="1510" w:name="_Toc115341597"/>
      <w:bookmarkStart w:id="1511" w:name="_Toc115342106"/>
      <w:bookmarkStart w:id="1512" w:name="_Toc115342615"/>
      <w:bookmarkStart w:id="1513" w:name="_Toc116285946"/>
      <w:bookmarkStart w:id="1514" w:name="_Toc116291000"/>
      <w:bookmarkStart w:id="1515" w:name="_Toc114143271"/>
      <w:bookmarkStart w:id="1516" w:name="_Toc114232971"/>
      <w:bookmarkStart w:id="1517" w:name="_Toc114233448"/>
      <w:bookmarkStart w:id="1518" w:name="_Toc114233925"/>
      <w:bookmarkStart w:id="1519" w:name="_Toc115341598"/>
      <w:bookmarkStart w:id="1520" w:name="_Toc115342107"/>
      <w:bookmarkStart w:id="1521" w:name="_Toc115342616"/>
      <w:bookmarkStart w:id="1522" w:name="_Toc116285947"/>
      <w:bookmarkStart w:id="1523" w:name="_Toc116291001"/>
      <w:bookmarkStart w:id="1524" w:name="_Toc114143272"/>
      <w:bookmarkStart w:id="1525" w:name="_Toc114232972"/>
      <w:bookmarkStart w:id="1526" w:name="_Toc114233449"/>
      <w:bookmarkStart w:id="1527" w:name="_Toc114233926"/>
      <w:bookmarkStart w:id="1528" w:name="_Toc115341599"/>
      <w:bookmarkStart w:id="1529" w:name="_Toc115342108"/>
      <w:bookmarkStart w:id="1530" w:name="_Toc115342617"/>
      <w:bookmarkStart w:id="1531" w:name="_Toc116285948"/>
      <w:bookmarkStart w:id="1532" w:name="_Toc116291002"/>
      <w:bookmarkStart w:id="1533" w:name="_Toc114143273"/>
      <w:bookmarkStart w:id="1534" w:name="_Toc114232973"/>
      <w:bookmarkStart w:id="1535" w:name="_Toc114233450"/>
      <w:bookmarkStart w:id="1536" w:name="_Toc114233927"/>
      <w:bookmarkStart w:id="1537" w:name="_Toc115341600"/>
      <w:bookmarkStart w:id="1538" w:name="_Toc115342109"/>
      <w:bookmarkStart w:id="1539" w:name="_Toc115342618"/>
      <w:bookmarkStart w:id="1540" w:name="_Toc116285949"/>
      <w:bookmarkStart w:id="1541" w:name="_Toc116291003"/>
      <w:bookmarkStart w:id="1542" w:name="_Toc114143274"/>
      <w:bookmarkStart w:id="1543" w:name="_Toc114232974"/>
      <w:bookmarkStart w:id="1544" w:name="_Toc114233451"/>
      <w:bookmarkStart w:id="1545" w:name="_Toc114233928"/>
      <w:bookmarkStart w:id="1546" w:name="_Toc115341601"/>
      <w:bookmarkStart w:id="1547" w:name="_Toc115342110"/>
      <w:bookmarkStart w:id="1548" w:name="_Toc115342619"/>
      <w:bookmarkStart w:id="1549" w:name="_Toc116285950"/>
      <w:bookmarkStart w:id="1550" w:name="_Toc116291004"/>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r>
        <w:t xml:space="preserve"> </w:t>
      </w:r>
      <w:bookmarkStart w:id="1551" w:name="_Toc126074158"/>
      <w:r w:rsidR="001B584E">
        <w:t xml:space="preserve">How will </w:t>
      </w:r>
      <w:r w:rsidR="00FE5C8E">
        <w:t xml:space="preserve">the ACCC </w:t>
      </w:r>
      <w:r w:rsidR="001B584E">
        <w:t xml:space="preserve">implement and evaluate </w:t>
      </w:r>
      <w:r w:rsidR="00FE5C8E">
        <w:t xml:space="preserve">the </w:t>
      </w:r>
      <w:r w:rsidR="001B584E">
        <w:t>chosen option?</w:t>
      </w:r>
      <w:bookmarkEnd w:id="1551"/>
    </w:p>
    <w:p w14:paraId="07A9E242" w14:textId="368B1154" w:rsidR="00512CBD" w:rsidRDefault="00512CBD" w:rsidP="00F05000">
      <w:pPr>
        <w:pStyle w:val="Heading2"/>
        <w:spacing w:before="120"/>
      </w:pPr>
      <w:bookmarkStart w:id="1552" w:name="_Toc114143288"/>
      <w:bookmarkStart w:id="1553" w:name="_Toc114232988"/>
      <w:bookmarkStart w:id="1554" w:name="_Toc114233465"/>
      <w:bookmarkStart w:id="1555" w:name="_Toc114233942"/>
      <w:bookmarkStart w:id="1556" w:name="_Toc115341615"/>
      <w:bookmarkStart w:id="1557" w:name="_Toc115342124"/>
      <w:bookmarkStart w:id="1558" w:name="_Toc115342633"/>
      <w:bookmarkStart w:id="1559" w:name="_Toc116285964"/>
      <w:bookmarkStart w:id="1560" w:name="_Toc116291018"/>
      <w:bookmarkStart w:id="1561" w:name="_Toc126074159"/>
      <w:bookmarkEnd w:id="1552"/>
      <w:bookmarkEnd w:id="1553"/>
      <w:bookmarkEnd w:id="1554"/>
      <w:bookmarkEnd w:id="1555"/>
      <w:bookmarkEnd w:id="1556"/>
      <w:bookmarkEnd w:id="1557"/>
      <w:bookmarkEnd w:id="1558"/>
      <w:bookmarkEnd w:id="1559"/>
      <w:bookmarkEnd w:id="1560"/>
      <w:r w:rsidRPr="000E3E56">
        <w:t>Implementation</w:t>
      </w:r>
      <w:r w:rsidRPr="005D4886">
        <w:t xml:space="preserve"> and review</w:t>
      </w:r>
      <w:bookmarkEnd w:id="1561"/>
    </w:p>
    <w:p w14:paraId="07C69ED7" w14:textId="201FA39C" w:rsidR="007A39DC" w:rsidRDefault="00B375B3" w:rsidP="00F05000">
      <w:pPr>
        <w:spacing w:before="120"/>
      </w:pPr>
      <w:r>
        <w:t xml:space="preserve">Under </w:t>
      </w:r>
      <w:r w:rsidR="00D508DB">
        <w:t>section 134 of the</w:t>
      </w:r>
      <w:r>
        <w:t xml:space="preserve"> ACL, the </w:t>
      </w:r>
      <w:r w:rsidR="00116CC7">
        <w:t>commonwealth minister</w:t>
      </w:r>
      <w:r>
        <w:t xml:space="preserve"> has the power to make or declare</w:t>
      </w:r>
      <w:r w:rsidR="00ED3B3A">
        <w:t xml:space="preserve"> a</w:t>
      </w:r>
      <w:r w:rsidR="005F0058">
        <w:t xml:space="preserve"> mandatory</w:t>
      </w:r>
      <w:r w:rsidR="001C3D9F">
        <w:t xml:space="preserve"> </w:t>
      </w:r>
      <w:r>
        <w:t>information standard for a consumer product or product-related service. These standards apply nationally</w:t>
      </w:r>
      <w:r w:rsidR="00D508DB">
        <w:t xml:space="preserve">. </w:t>
      </w:r>
    </w:p>
    <w:p w14:paraId="5F01C624" w14:textId="29E60A76" w:rsidR="00F560D0" w:rsidRDefault="00F560D0" w:rsidP="00F05000">
      <w:pPr>
        <w:spacing w:before="120"/>
      </w:pPr>
      <w:r w:rsidRPr="00F560D0">
        <w:t>The ACCC is required to notify the World Trade Organisation</w:t>
      </w:r>
      <w:r w:rsidR="00902142">
        <w:t xml:space="preserve"> (WTO)</w:t>
      </w:r>
      <w:r w:rsidRPr="00F560D0">
        <w:t xml:space="preserve"> of any mandatory standards or technical regulations that may have a significant impact on trade as part of a notification process. Once the instrument has been drafted, </w:t>
      </w:r>
      <w:r w:rsidR="00902142">
        <w:t>the ACCC</w:t>
      </w:r>
      <w:r w:rsidRPr="00F560D0">
        <w:t xml:space="preserve"> </w:t>
      </w:r>
      <w:r w:rsidR="00902142">
        <w:t>must</w:t>
      </w:r>
      <w:r w:rsidRPr="00F560D0">
        <w:t xml:space="preserve"> notify the WTO and publish an exposure draft of the standard for </w:t>
      </w:r>
      <w:r w:rsidRPr="005437EB">
        <w:t xml:space="preserve">a </w:t>
      </w:r>
      <w:r w:rsidR="004A38CB" w:rsidRPr="005437EB">
        <w:t>60</w:t>
      </w:r>
      <w:r w:rsidRPr="005437EB">
        <w:t>-day</w:t>
      </w:r>
      <w:r w:rsidRPr="00F560D0">
        <w:t xml:space="preserve"> consultation period, consistent with WTO requirements.</w:t>
      </w:r>
    </w:p>
    <w:p w14:paraId="29C791DA" w14:textId="5CFA13E7" w:rsidR="00960947" w:rsidRDefault="00C1595E" w:rsidP="00F05000">
      <w:pPr>
        <w:spacing w:before="120"/>
      </w:pPr>
      <w:r>
        <w:t xml:space="preserve">Product safety regulation in Australia is a shared responsibility and is enforced by the ACCC and state and territory </w:t>
      </w:r>
      <w:r w:rsidR="00785725">
        <w:t>consumer protection agencies</w:t>
      </w:r>
      <w:r>
        <w:t xml:space="preserve">. </w:t>
      </w:r>
      <w:r w:rsidR="001F0B41">
        <w:t xml:space="preserve">Per clause 34 of the </w:t>
      </w:r>
      <w:r w:rsidR="001F0B41">
        <w:rPr>
          <w:i/>
          <w:iCs/>
        </w:rPr>
        <w:t>Intergovernmental Agreement for the Australian Consumer Law</w:t>
      </w:r>
      <w:r w:rsidR="001F0B41">
        <w:t xml:space="preserve"> t</w:t>
      </w:r>
      <w:r w:rsidR="00960947">
        <w:t xml:space="preserve">he Commonwealth Minister is also required to consult with relevant state and territory Ministers before a mandatory information standard is implemented. </w:t>
      </w:r>
      <w:r w:rsidR="001F0B41">
        <w:t xml:space="preserve">This will include a </w:t>
      </w:r>
      <w:r w:rsidR="00255FB1">
        <w:t>90-day</w:t>
      </w:r>
      <w:r w:rsidR="001F0B41">
        <w:t xml:space="preserve"> consultation period, as well as an additional </w:t>
      </w:r>
      <w:r w:rsidR="00255FB1">
        <w:t>35-day</w:t>
      </w:r>
      <w:r w:rsidR="001F0B41">
        <w:t xml:space="preserve"> period in which a decision must be made.</w:t>
      </w:r>
    </w:p>
    <w:p w14:paraId="70BDF120" w14:textId="45F453C9" w:rsidR="00D508DB" w:rsidRPr="00E30B21" w:rsidRDefault="00CC212E" w:rsidP="00F05000">
      <w:pPr>
        <w:spacing w:before="120"/>
      </w:pPr>
      <w:r>
        <w:t>A mandatory information standard may be subject to</w:t>
      </w:r>
      <w:r w:rsidR="00F06152">
        <w:t xml:space="preserve"> </w:t>
      </w:r>
      <w:r w:rsidR="00B6057A">
        <w:t>the T</w:t>
      </w:r>
      <w:r w:rsidR="00B6057A" w:rsidRPr="00B6057A">
        <w:t>rans-</w:t>
      </w:r>
      <w:r w:rsidR="00B6057A">
        <w:t>T</w:t>
      </w:r>
      <w:r w:rsidR="00B6057A" w:rsidRPr="00B6057A">
        <w:t xml:space="preserve">asman </w:t>
      </w:r>
      <w:r w:rsidR="00B6057A">
        <w:t>M</w:t>
      </w:r>
      <w:r w:rsidR="00B6057A" w:rsidRPr="00B6057A">
        <w:t xml:space="preserve">utual </w:t>
      </w:r>
      <w:r w:rsidR="00B6057A">
        <w:t>R</w:t>
      </w:r>
      <w:r w:rsidR="00B6057A" w:rsidRPr="00B6057A">
        <w:t>ecognition</w:t>
      </w:r>
      <w:r w:rsidR="00255FB1">
        <w:t xml:space="preserve"> agreement between Australian and New Zealand</w:t>
      </w:r>
      <w:r w:rsidR="00B6057A">
        <w:t>.</w:t>
      </w:r>
      <w:r>
        <w:t xml:space="preserve"> A</w:t>
      </w:r>
      <w:r w:rsidR="005F0058">
        <w:t xml:space="preserve"> mandatory</w:t>
      </w:r>
      <w:r>
        <w:t xml:space="preserve"> information standard will also be subject to decision process between Commonwealth and state and territory governments, per the Intergovernmental Agreement for </w:t>
      </w:r>
      <w:r w:rsidR="00902142">
        <w:t>C</w:t>
      </w:r>
      <w:r>
        <w:t xml:space="preserve">onsumer </w:t>
      </w:r>
      <w:r w:rsidR="00902142">
        <w:t>L</w:t>
      </w:r>
      <w:r>
        <w:t xml:space="preserve">aw. </w:t>
      </w:r>
    </w:p>
    <w:p w14:paraId="1B59A039" w14:textId="2035FD6F" w:rsidR="00512CBD" w:rsidRPr="00F05000" w:rsidRDefault="00B375B3" w:rsidP="00F05000">
      <w:pPr>
        <w:pStyle w:val="Heading3"/>
        <w:spacing w:before="120"/>
      </w:pPr>
      <w:bookmarkStart w:id="1562" w:name="_Toc126074160"/>
      <w:r w:rsidRPr="00F05000">
        <w:t>Transition</w:t>
      </w:r>
      <w:r w:rsidR="00512CBD" w:rsidRPr="00F05000">
        <w:t xml:space="preserve"> period</w:t>
      </w:r>
      <w:bookmarkEnd w:id="1562"/>
    </w:p>
    <w:p w14:paraId="58645E8E" w14:textId="68B3694F" w:rsidR="00512CBD" w:rsidRPr="00AF6193" w:rsidRDefault="00512CBD" w:rsidP="00F05000">
      <w:pPr>
        <w:spacing w:before="120"/>
      </w:pPr>
      <w:r w:rsidRPr="00AF6193">
        <w:t>The ACCC considers that any new mandatory information standard to address issues associated with toppling furniture</w:t>
      </w:r>
      <w:r w:rsidR="00194091">
        <w:t xml:space="preserve"> should</w:t>
      </w:r>
      <w:r w:rsidRPr="00AF6193">
        <w:t xml:space="preserve"> be subject to a </w:t>
      </w:r>
      <w:r w:rsidR="004B7AA1">
        <w:t>12</w:t>
      </w:r>
      <w:r w:rsidRPr="00AF6193">
        <w:t>-month transition</w:t>
      </w:r>
      <w:r w:rsidR="004B7AA1">
        <w:t>.</w:t>
      </w:r>
    </w:p>
    <w:p w14:paraId="1D8C621A" w14:textId="0AF4782A" w:rsidR="00512CBD" w:rsidRPr="00AF6193" w:rsidRDefault="00512CBD" w:rsidP="00F05000">
      <w:pPr>
        <w:spacing w:before="120"/>
      </w:pPr>
      <w:r w:rsidRPr="00AF6193">
        <w:t xml:space="preserve">This transition period </w:t>
      </w:r>
      <w:r w:rsidR="00E55634">
        <w:t>would</w:t>
      </w:r>
      <w:r w:rsidR="00E55634" w:rsidRPr="00AF6193">
        <w:t xml:space="preserve"> </w:t>
      </w:r>
      <w:r w:rsidRPr="00AF6193">
        <w:t xml:space="preserve">allow industry to implement any design changes to products </w:t>
      </w:r>
      <w:r w:rsidR="004B7AA1">
        <w:t xml:space="preserve">and packaging. </w:t>
      </w:r>
      <w:r w:rsidRPr="00AF6193">
        <w:t>This staged transition period will also provide time for industry to deplete</w:t>
      </w:r>
      <w:r w:rsidR="00073358">
        <w:t xml:space="preserve"> or modify</w:t>
      </w:r>
      <w:r w:rsidRPr="00AF6193">
        <w:t xml:space="preserve"> non-compliant stock. </w:t>
      </w:r>
      <w:r w:rsidR="004B7AA1">
        <w:t>It also account</w:t>
      </w:r>
      <w:r w:rsidR="00E55634">
        <w:t>s</w:t>
      </w:r>
      <w:r w:rsidR="004B7AA1">
        <w:t xml:space="preserve"> for residual delays in the supply chain resultant from the COVID</w:t>
      </w:r>
      <w:r w:rsidR="00E55634">
        <w:t>-</w:t>
      </w:r>
      <w:r w:rsidR="004B7AA1">
        <w:t xml:space="preserve">19 pandemic. </w:t>
      </w:r>
    </w:p>
    <w:p w14:paraId="7D85AF04" w14:textId="0D84EB65" w:rsidR="00DE56E4" w:rsidRDefault="00512CBD" w:rsidP="00F05000">
      <w:pPr>
        <w:spacing w:before="120"/>
      </w:pPr>
      <w:r w:rsidRPr="00AF6193">
        <w:t xml:space="preserve">This transition period is considered </w:t>
      </w:r>
      <w:r w:rsidR="00B24F9E">
        <w:t xml:space="preserve">appropriate </w:t>
      </w:r>
      <w:r w:rsidRPr="00AF6193">
        <w:t>given the</w:t>
      </w:r>
      <w:r w:rsidR="00073358">
        <w:t xml:space="preserve"> broad</w:t>
      </w:r>
      <w:r w:rsidRPr="00AF6193">
        <w:t xml:space="preserve"> range of consumer goods likely to be affected</w:t>
      </w:r>
      <w:r w:rsidR="00DE56E4">
        <w:t xml:space="preserve">. It was also considered reasonable by </w:t>
      </w:r>
      <w:r w:rsidR="00B24F9E">
        <w:t>most</w:t>
      </w:r>
      <w:r w:rsidR="00DE56E4">
        <w:t xml:space="preserve"> stakeholders.</w:t>
      </w:r>
    </w:p>
    <w:p w14:paraId="4C5EF4CB" w14:textId="3705701C" w:rsidR="002D354A" w:rsidRDefault="002D354A" w:rsidP="00F05000">
      <w:pPr>
        <w:pStyle w:val="Bulletpoint"/>
        <w:numPr>
          <w:ilvl w:val="0"/>
          <w:numId w:val="0"/>
        </w:numPr>
      </w:pPr>
      <w:r>
        <w:t>Once implemented, the ACCC will monitor compliance with the</w:t>
      </w:r>
      <w:r w:rsidR="00752602">
        <w:t xml:space="preserve"> mandatory</w:t>
      </w:r>
      <w:r>
        <w:t xml:space="preserve"> information standard. </w:t>
      </w:r>
      <w:r w:rsidR="00C13D83">
        <w:t>Under</w:t>
      </w:r>
      <w:r>
        <w:t xml:space="preserve"> s</w:t>
      </w:r>
      <w:r w:rsidR="00833940">
        <w:t>ection</w:t>
      </w:r>
      <w:r w:rsidR="00E55634">
        <w:t xml:space="preserve"> </w:t>
      </w:r>
      <w:r>
        <w:t>136 of the ACL</w:t>
      </w:r>
      <w:r w:rsidR="00073358">
        <w:t>,</w:t>
      </w:r>
      <w:r>
        <w:t xml:space="preserve"> pecuniary penalties may apply for the supply of goods that do not comply with </w:t>
      </w:r>
      <w:r w:rsidR="00E55634">
        <w:t>mandatory</w:t>
      </w:r>
      <w:r>
        <w:t xml:space="preserve"> standards. </w:t>
      </w:r>
    </w:p>
    <w:p w14:paraId="5EF25B88" w14:textId="6E52E770" w:rsidR="00512CBD" w:rsidRPr="00F05000" w:rsidRDefault="00512CBD" w:rsidP="00F05000">
      <w:pPr>
        <w:pStyle w:val="Heading3"/>
        <w:spacing w:before="120"/>
      </w:pPr>
      <w:bookmarkStart w:id="1563" w:name="_Toc126074161"/>
      <w:r w:rsidRPr="00F05000">
        <w:t>Review of standard</w:t>
      </w:r>
      <w:bookmarkEnd w:id="1563"/>
    </w:p>
    <w:p w14:paraId="16FF52BE" w14:textId="073EF558" w:rsidR="001C5A60" w:rsidRDefault="0015407D">
      <w:pPr>
        <w:pStyle w:val="Bulletpoint"/>
        <w:numPr>
          <w:ilvl w:val="0"/>
          <w:numId w:val="0"/>
        </w:numPr>
      </w:pPr>
      <w:bookmarkStart w:id="1564" w:name="_Hlk123906481"/>
      <w:r>
        <w:t xml:space="preserve">The ACCC considers that a formal review of the operation of any new </w:t>
      </w:r>
      <w:r w:rsidR="0045059A">
        <w:t xml:space="preserve">mandatory </w:t>
      </w:r>
      <w:r>
        <w:t xml:space="preserve">information standard should be conducted </w:t>
      </w:r>
      <w:r w:rsidR="00672EA7">
        <w:t xml:space="preserve">5 </w:t>
      </w:r>
      <w:r>
        <w:t>years from the date of commencement. Any review should consider levels of compliance with mandatory standards</w:t>
      </w:r>
      <w:r w:rsidR="001C5A60">
        <w:t>, consumer awareness about the risk of death and injury,</w:t>
      </w:r>
      <w:r w:rsidR="00672EA7">
        <w:t xml:space="preserve"> </w:t>
      </w:r>
      <w:r>
        <w:t>and the prevalence of injuries and deaths caused by toppling furniture</w:t>
      </w:r>
      <w:r w:rsidR="00737468">
        <w:t>.</w:t>
      </w:r>
      <w:r w:rsidR="00275646">
        <w:t xml:space="preserve"> </w:t>
      </w:r>
    </w:p>
    <w:p w14:paraId="19213B56" w14:textId="77777777" w:rsidR="001C5A60" w:rsidRDefault="001C5A60" w:rsidP="007E743F">
      <w:pPr>
        <w:pStyle w:val="Bulletpoint"/>
        <w:numPr>
          <w:ilvl w:val="0"/>
          <w:numId w:val="0"/>
        </w:numPr>
        <w:spacing w:before="0"/>
      </w:pPr>
    </w:p>
    <w:p w14:paraId="3F0F7D02" w14:textId="07E3041F" w:rsidR="00F63E5C" w:rsidRPr="00F63E5C" w:rsidRDefault="001C5A60" w:rsidP="00F63E5C">
      <w:pPr>
        <w:pStyle w:val="Bulletpoint"/>
        <w:numPr>
          <w:ilvl w:val="0"/>
          <w:numId w:val="52"/>
        </w:numPr>
        <w:spacing w:after="0"/>
      </w:pPr>
      <w:r>
        <w:t>Compliance with mandatory standards</w:t>
      </w:r>
      <w:r w:rsidR="00F63E5C">
        <w:t xml:space="preserve">: </w:t>
      </w:r>
      <w:r w:rsidR="00F63E5C" w:rsidRPr="00F63E5C">
        <w:t>The ACCC will monitor industry compliance with the mandatory information standard</w:t>
      </w:r>
      <w:r w:rsidR="00F61F30">
        <w:t xml:space="preserve"> through complaints to the ACCC and industry engagement</w:t>
      </w:r>
      <w:r w:rsidR="00F63E5C" w:rsidRPr="00F63E5C">
        <w:t xml:space="preserve">. The ACCC will </w:t>
      </w:r>
      <w:r w:rsidR="00F61F30">
        <w:t>take enforcement action where appropriate.</w:t>
      </w:r>
      <w:r w:rsidR="00D16B47">
        <w:t xml:space="preserve"> The ACCC considers that observed levels of industry compliance and limited reports of non-compliance </w:t>
      </w:r>
      <w:r w:rsidR="00DC6E36">
        <w:t xml:space="preserve">to the ACCC will in part demonstrate </w:t>
      </w:r>
      <w:r w:rsidR="00AB1ABB">
        <w:t>effectiveness</w:t>
      </w:r>
      <w:r w:rsidR="00DC6E36">
        <w:t xml:space="preserve">. </w:t>
      </w:r>
      <w:r w:rsidR="00F61F30">
        <w:t xml:space="preserve"> </w:t>
      </w:r>
    </w:p>
    <w:p w14:paraId="68A6ADEC" w14:textId="77777777" w:rsidR="00F61F30" w:rsidRPr="00F61F30" w:rsidRDefault="00F61F30" w:rsidP="00F61F30">
      <w:pPr>
        <w:pStyle w:val="Bulletpoint"/>
        <w:numPr>
          <w:ilvl w:val="0"/>
          <w:numId w:val="52"/>
        </w:numPr>
        <w:spacing w:after="0"/>
      </w:pPr>
      <w:r>
        <w:t xml:space="preserve">Levels of consumer awareness: </w:t>
      </w:r>
      <w:r w:rsidRPr="00F61F30">
        <w:t>The ACCC notes the information provided by CHOICE that only 45% of survey respondents recalled being provided with information about the toppling hazard when purchasing furniture. Following the implementation of the mandatory information standard, the ACCC considers that a successful outcome would be a consumer awareness level of at least 90% (in a survey with similar parameters). As all suppliers of in-scope furniture would be required to implement instore/point-of-sale signage, this metric is considered feasible.</w:t>
      </w:r>
    </w:p>
    <w:p w14:paraId="5D6B2B2C" w14:textId="3855AC46" w:rsidR="00F61F30" w:rsidRDefault="00F61F30" w:rsidP="002D21FC">
      <w:pPr>
        <w:pStyle w:val="Bulletpoint"/>
        <w:numPr>
          <w:ilvl w:val="0"/>
          <w:numId w:val="52"/>
        </w:numPr>
        <w:spacing w:after="0"/>
      </w:pPr>
      <w:r w:rsidRPr="00F61F30">
        <w:t>Further, the ACCC will seek to understand the level of consumer awareness of toppling furniture hazards and appropriate risk mitigation, by facilitating its own survey prior to the implementation of the mandatory information standard, and then at intervals following the commencement. Over the 5 years from the commencement, the ACCC considers that a 50% improvement in overall consumer awareness would be a successful outcome of the intervention.</w:t>
      </w:r>
    </w:p>
    <w:p w14:paraId="35676B53" w14:textId="1556F7A1" w:rsidR="00D674AB" w:rsidRDefault="00F61F30" w:rsidP="0076649B">
      <w:pPr>
        <w:pStyle w:val="Bulletpoint"/>
        <w:numPr>
          <w:ilvl w:val="0"/>
          <w:numId w:val="52"/>
        </w:numPr>
        <w:spacing w:after="0"/>
      </w:pPr>
      <w:r>
        <w:t xml:space="preserve">Injuries and deaths: </w:t>
      </w:r>
      <w:r w:rsidR="0076649B">
        <w:t xml:space="preserve">Ultimately, any reduction in death or injuries is an indicator of success. Ideally, a measure of success is no injuries or </w:t>
      </w:r>
      <w:r w:rsidR="0026749E">
        <w:t>fatalities</w:t>
      </w:r>
      <w:r w:rsidR="0076649B">
        <w:t xml:space="preserve">, however </w:t>
      </w:r>
      <w:r w:rsidR="0026749E">
        <w:t xml:space="preserve">the ACCC </w:t>
      </w:r>
      <w:r w:rsidR="00701CF0">
        <w:t xml:space="preserve">considers that </w:t>
      </w:r>
      <w:r w:rsidR="00701CF0" w:rsidRPr="00D7006C">
        <w:t>a</w:t>
      </w:r>
      <w:r w:rsidR="0026749E">
        <w:t xml:space="preserve"> more realistic</w:t>
      </w:r>
      <w:r w:rsidR="00C204A4">
        <w:t xml:space="preserve"> aim</w:t>
      </w:r>
      <w:r w:rsidR="0026749E">
        <w:t xml:space="preserve"> </w:t>
      </w:r>
      <w:r w:rsidR="00701CF0">
        <w:t>of this intervent</w:t>
      </w:r>
      <w:r w:rsidR="000B3AA0">
        <w:t xml:space="preserve">ion </w:t>
      </w:r>
      <w:r w:rsidR="00C204A4">
        <w:t>is</w:t>
      </w:r>
      <w:r w:rsidR="002D21FC">
        <w:t xml:space="preserve"> </w:t>
      </w:r>
      <w:r w:rsidR="000B3AA0">
        <w:t xml:space="preserve">a 30% </w:t>
      </w:r>
      <w:r w:rsidR="00DE62FE">
        <w:t xml:space="preserve">reduction in deaths and a 50% reduction in injuries. </w:t>
      </w:r>
      <w:r w:rsidR="00661987">
        <w:t xml:space="preserve">This information can be </w:t>
      </w:r>
      <w:bookmarkStart w:id="1565" w:name="_Hlk125119590"/>
      <w:r w:rsidR="00661987">
        <w:t>extrapolated from hospital and coronial data</w:t>
      </w:r>
      <w:bookmarkEnd w:id="1565"/>
      <w:r w:rsidR="00947AAC">
        <w:t xml:space="preserve"> </w:t>
      </w:r>
      <w:bookmarkStart w:id="1566" w:name="_Hlk123906591"/>
      <w:r w:rsidR="00947AAC">
        <w:t>following the implementation of the mandatory information standard</w:t>
      </w:r>
      <w:r w:rsidR="00661987">
        <w:t>.</w:t>
      </w:r>
    </w:p>
    <w:bookmarkEnd w:id="1566"/>
    <w:p w14:paraId="1F958456" w14:textId="446699FB" w:rsidR="00C452D1" w:rsidRDefault="00A743A8" w:rsidP="00F61F30">
      <w:pPr>
        <w:pStyle w:val="Bulletpoint"/>
        <w:numPr>
          <w:ilvl w:val="0"/>
          <w:numId w:val="0"/>
        </w:numPr>
      </w:pPr>
      <w:r>
        <w:t xml:space="preserve">Improved consumer awareness, including through the </w:t>
      </w:r>
      <w:r w:rsidR="006C2C25">
        <w:t>engagement and reach</w:t>
      </w:r>
      <w:r>
        <w:t xml:space="preserve"> of any education campaigns, will also demonstrate success</w:t>
      </w:r>
      <w:r w:rsidR="002A49BC">
        <w:t xml:space="preserve">. </w:t>
      </w:r>
    </w:p>
    <w:p w14:paraId="22712476" w14:textId="577EA63B" w:rsidR="00770572" w:rsidRDefault="00DE56E4">
      <w:pPr>
        <w:pStyle w:val="Bulletpoint"/>
        <w:numPr>
          <w:ilvl w:val="0"/>
          <w:numId w:val="0"/>
        </w:numPr>
      </w:pPr>
      <w:r>
        <w:t xml:space="preserve">It may also be appropriate to reconsider a mandatory safety standard </w:t>
      </w:r>
      <w:r w:rsidR="00C31486">
        <w:t xml:space="preserve">following the publication of any </w:t>
      </w:r>
      <w:r w:rsidR="00E55634">
        <w:t xml:space="preserve">relevant </w:t>
      </w:r>
      <w:r w:rsidR="00C31486">
        <w:t xml:space="preserve">new or revised furniture stability standard. </w:t>
      </w:r>
      <w:r w:rsidR="00E55634">
        <w:t>This</w:t>
      </w:r>
      <w:r w:rsidR="00C31486">
        <w:t xml:space="preserve"> should be weighed against the efficacy of the </w:t>
      </w:r>
      <w:r w:rsidR="007A39DC">
        <w:t xml:space="preserve">mandatory </w:t>
      </w:r>
      <w:r w:rsidR="00C31486">
        <w:t xml:space="preserve">information standard. </w:t>
      </w:r>
      <w:r w:rsidR="007A39DC">
        <w:t xml:space="preserve">The future adoption of any safety standard </w:t>
      </w:r>
      <w:r w:rsidR="005A6E95">
        <w:t>will</w:t>
      </w:r>
      <w:r w:rsidR="007A39DC">
        <w:t xml:space="preserve"> require an additional consultation process</w:t>
      </w:r>
      <w:r w:rsidR="00A14F8F">
        <w:t xml:space="preserve"> and consideration of any revised safety standards published by standards development </w:t>
      </w:r>
      <w:r w:rsidR="008E6C29">
        <w:t>organisations</w:t>
      </w:r>
      <w:r w:rsidR="00A14F8F">
        <w:t>.</w:t>
      </w:r>
      <w:bookmarkEnd w:id="1564"/>
    </w:p>
    <w:p w14:paraId="223227AF" w14:textId="3947E06A" w:rsidR="00737468" w:rsidRDefault="00737468" w:rsidP="00F05000">
      <w:pPr>
        <w:pStyle w:val="Heading3"/>
        <w:spacing w:before="120"/>
      </w:pPr>
      <w:bookmarkStart w:id="1567" w:name="_Toc126074162"/>
      <w:r>
        <w:t>Administrative guidance</w:t>
      </w:r>
      <w:bookmarkEnd w:id="1567"/>
    </w:p>
    <w:p w14:paraId="15791DC6" w14:textId="39738A69" w:rsidR="00C31486" w:rsidRDefault="00B45441" w:rsidP="00F05000">
      <w:pPr>
        <w:spacing w:before="120"/>
      </w:pPr>
      <w:r>
        <w:t>If a mandatory information standard is introduced</w:t>
      </w:r>
      <w:r w:rsidR="00C31486">
        <w:t xml:space="preserve">, the ACCC </w:t>
      </w:r>
      <w:r w:rsidR="003433F2">
        <w:t>intends to eng</w:t>
      </w:r>
      <w:r w:rsidR="008B0AB9">
        <w:t xml:space="preserve">age with industry to provide </w:t>
      </w:r>
      <w:r w:rsidR="00C31486">
        <w:t xml:space="preserve">administrative guidance </w:t>
      </w:r>
      <w:r w:rsidR="008B0AB9">
        <w:t>and</w:t>
      </w:r>
      <w:r w:rsidR="00C31486">
        <w:t xml:space="preserve"> further clarity on the application of the requirements and best practice recommendations.</w:t>
      </w:r>
    </w:p>
    <w:p w14:paraId="2091BF1B" w14:textId="50A8EFE0" w:rsidR="00AF2621" w:rsidRPr="00EE2393" w:rsidRDefault="00AF2621" w:rsidP="00F05000">
      <w:pPr>
        <w:spacing w:before="120"/>
      </w:pPr>
      <w:r>
        <w:t>To assist suppliers to comply with the</w:t>
      </w:r>
      <w:r w:rsidR="0045059A">
        <w:t xml:space="preserve"> mandatory</w:t>
      </w:r>
      <w:r>
        <w:t xml:space="preserve"> information standard, the ACCC will provide resources such as example warning labels and graphics. This should remove barriers to compliance that might face smaller suppliers who do not have inhouse resources or design capacity.</w:t>
      </w:r>
    </w:p>
    <w:p w14:paraId="150927FA" w14:textId="1B4F4EB4" w:rsidR="00D90E57" w:rsidRDefault="004A580C" w:rsidP="000A31A3">
      <w:r>
        <w:br w:type="page"/>
      </w:r>
    </w:p>
    <w:p w14:paraId="5BA01F90" w14:textId="3CA52457" w:rsidR="00382FBA" w:rsidRPr="001B3A3C" w:rsidRDefault="00853A9F" w:rsidP="00685087">
      <w:pPr>
        <w:pStyle w:val="Numbered1"/>
        <w:numPr>
          <w:ilvl w:val="0"/>
          <w:numId w:val="0"/>
        </w:numPr>
      </w:pPr>
      <w:bookmarkStart w:id="1568" w:name="_Toc126074163"/>
      <w:bookmarkStart w:id="1569" w:name="_Toc99466298"/>
      <w:r w:rsidRPr="002435E3">
        <w:rPr>
          <w:noProof/>
          <w:lang w:eastAsia="en-AU"/>
        </w:rPr>
        <mc:AlternateContent>
          <mc:Choice Requires="wpg">
            <w:drawing>
              <wp:anchor distT="0" distB="0" distL="114300" distR="114300" simplePos="0" relativeHeight="251672576" behindDoc="1" locked="0" layoutInCell="1" allowOverlap="1" wp14:anchorId="50DD9FE2" wp14:editId="5E8EDDC0">
                <wp:simplePos x="0" y="0"/>
                <wp:positionH relativeFrom="column">
                  <wp:posOffset>-142875</wp:posOffset>
                </wp:positionH>
                <wp:positionV relativeFrom="paragraph">
                  <wp:posOffset>389889</wp:posOffset>
                </wp:positionV>
                <wp:extent cx="2476500" cy="8353425"/>
                <wp:effectExtent l="19050" t="38100" r="19050" b="28575"/>
                <wp:wrapNone/>
                <wp:docPr id="30" name="Group 26"/>
                <wp:cNvGraphicFramePr/>
                <a:graphic xmlns:a="http://schemas.openxmlformats.org/drawingml/2006/main">
                  <a:graphicData uri="http://schemas.microsoft.com/office/word/2010/wordprocessingGroup">
                    <wpg:wgp>
                      <wpg:cNvGrpSpPr/>
                      <wpg:grpSpPr>
                        <a:xfrm>
                          <a:off x="0" y="0"/>
                          <a:ext cx="2476500" cy="8353425"/>
                          <a:chOff x="0" y="0"/>
                          <a:chExt cx="3961625" cy="6399769"/>
                        </a:xfrm>
                      </wpg:grpSpPr>
                      <wpg:grpSp>
                        <wpg:cNvPr id="31" name="Group 31"/>
                        <wpg:cNvGrpSpPr/>
                        <wpg:grpSpPr>
                          <a:xfrm>
                            <a:off x="1" y="0"/>
                            <a:ext cx="3961624" cy="5855518"/>
                            <a:chOff x="1" y="0"/>
                            <a:chExt cx="3396940" cy="7393498"/>
                          </a:xfrm>
                        </wpg:grpSpPr>
                        <wps:wsp>
                          <wps:cNvPr id="32" name="Arrow: Chevron 32"/>
                          <wps:cNvSpPr/>
                          <wps:spPr>
                            <a:xfrm rot="5400000">
                              <a:off x="963166" y="2737785"/>
                              <a:ext cx="1468075" cy="3394401"/>
                            </a:xfrm>
                            <a:prstGeom prst="chevron">
                              <a:avLst/>
                            </a:prstGeom>
                            <a:solidFill>
                              <a:schemeClr val="accent1">
                                <a:alpha val="50000"/>
                              </a:schemeClr>
                            </a:solidFill>
                            <a:ln w="38100">
                              <a:solidFill>
                                <a:srgbClr val="7030A0"/>
                              </a:solidFill>
                            </a:ln>
                          </wps:spPr>
                          <wps:style>
                            <a:lnRef idx="0">
                              <a:scrgbClr r="0" g="0" b="0"/>
                            </a:lnRef>
                            <a:fillRef idx="0">
                              <a:scrgbClr r="0" g="0" b="0"/>
                            </a:fillRef>
                            <a:effectRef idx="0">
                              <a:scrgbClr r="0" g="0" b="0"/>
                            </a:effectRef>
                            <a:fontRef idx="minor">
                              <a:schemeClr val="lt1"/>
                            </a:fontRef>
                          </wps:style>
                          <wps:txbx>
                            <w:txbxContent>
                              <w:p w14:paraId="48B2E3CE" w14:textId="288DBDC4" w:rsidR="00B54F1A" w:rsidRPr="005E5569" w:rsidRDefault="00B54F1A" w:rsidP="002435E3">
                                <w:pPr>
                                  <w:jc w:val="center"/>
                                  <w:rPr>
                                    <w:rFonts w:asciiTheme="minorHAnsi"/>
                                    <w:b/>
                                    <w:bCs/>
                                    <w:color w:val="000000" w:themeColor="text1"/>
                                    <w:kern w:val="24"/>
                                    <w:sz w:val="24"/>
                                    <w:szCs w:val="24"/>
                                  </w:rPr>
                                </w:pPr>
                                <w:r w:rsidRPr="005E5569">
                                  <w:rPr>
                                    <w:rFonts w:asciiTheme="minorHAnsi"/>
                                    <w:b/>
                                    <w:bCs/>
                                    <w:color w:val="000000" w:themeColor="text1"/>
                                    <w:kern w:val="24"/>
                                    <w:sz w:val="24"/>
                                    <w:szCs w:val="24"/>
                                  </w:rPr>
                                  <w:br/>
                                </w:r>
                                <w:r w:rsidRPr="005E5569">
                                  <w:rPr>
                                    <w:rFonts w:asciiTheme="minorHAnsi"/>
                                    <w:b/>
                                    <w:bCs/>
                                    <w:color w:val="FFFFFF" w:themeColor="background1"/>
                                    <w:kern w:val="24"/>
                                    <w:sz w:val="24"/>
                                    <w:szCs w:val="24"/>
                                  </w:rPr>
                                  <w:t>13 May – 13 June 2022</w:t>
                                </w:r>
                              </w:p>
                            </w:txbxContent>
                          </wps:txbx>
                          <wps:bodyPr vert="vert270" rtlCol="0" anchor="ctr"/>
                        </wps:wsp>
                        <wpg:grpSp>
                          <wpg:cNvPr id="33" name="Group 33"/>
                          <wpg:cNvGrpSpPr/>
                          <wpg:grpSpPr>
                            <a:xfrm>
                              <a:off x="1" y="0"/>
                              <a:ext cx="3396940" cy="7393498"/>
                              <a:chOff x="1" y="0"/>
                              <a:chExt cx="3396943" cy="7392108"/>
                            </a:xfrm>
                          </wpg:grpSpPr>
                          <wps:wsp>
                            <wps:cNvPr id="34" name="Arrow: Chevron 34"/>
                            <wps:cNvSpPr/>
                            <wps:spPr>
                              <a:xfrm rot="5400000">
                                <a:off x="965706" y="-963163"/>
                                <a:ext cx="1468075" cy="3394401"/>
                              </a:xfrm>
                              <a:prstGeom prst="chevron">
                                <a:avLst/>
                              </a:prstGeom>
                              <a:solidFill>
                                <a:schemeClr val="accent1">
                                  <a:alpha val="50000"/>
                                </a:schemeClr>
                              </a:solidFill>
                              <a:ln w="38100">
                                <a:solidFill>
                                  <a:srgbClr val="7030A0"/>
                                </a:solidFill>
                              </a:ln>
                            </wps:spPr>
                            <wps:style>
                              <a:lnRef idx="0">
                                <a:scrgbClr r="0" g="0" b="0"/>
                              </a:lnRef>
                              <a:fillRef idx="0">
                                <a:scrgbClr r="0" g="0" b="0"/>
                              </a:fillRef>
                              <a:effectRef idx="0">
                                <a:scrgbClr r="0" g="0" b="0"/>
                              </a:effectRef>
                              <a:fontRef idx="minor">
                                <a:schemeClr val="lt1"/>
                              </a:fontRef>
                            </wps:style>
                            <wps:txbx>
                              <w:txbxContent>
                                <w:p w14:paraId="11DA3D04" w14:textId="77777777" w:rsidR="00B54F1A" w:rsidRPr="005E5569" w:rsidRDefault="00B54F1A" w:rsidP="002435E3">
                                  <w:pPr>
                                    <w:jc w:val="center"/>
                                    <w:rPr>
                                      <w:rFonts w:asciiTheme="minorHAnsi"/>
                                      <w:b/>
                                      <w:bCs/>
                                      <w:color w:val="000000" w:themeColor="text1"/>
                                      <w:kern w:val="24"/>
                                      <w:sz w:val="24"/>
                                      <w:szCs w:val="24"/>
                                    </w:rPr>
                                  </w:pPr>
                                  <w:r w:rsidRPr="005E5569">
                                    <w:rPr>
                                      <w:rFonts w:asciiTheme="minorHAnsi"/>
                                      <w:b/>
                                      <w:bCs/>
                                      <w:color w:val="000000" w:themeColor="text1"/>
                                      <w:kern w:val="24"/>
                                      <w:sz w:val="24"/>
                                      <w:szCs w:val="24"/>
                                    </w:rPr>
                                    <w:br/>
                                  </w:r>
                                  <w:r w:rsidRPr="005E5569">
                                    <w:rPr>
                                      <w:rFonts w:asciiTheme="minorHAnsi"/>
                                      <w:b/>
                                      <w:bCs/>
                                      <w:color w:val="FFFFFF" w:themeColor="background1"/>
                                      <w:kern w:val="24"/>
                                      <w:sz w:val="24"/>
                                      <w:szCs w:val="24"/>
                                    </w:rPr>
                                    <w:t>2 August 2021</w:t>
                                  </w:r>
                                </w:p>
                              </w:txbxContent>
                            </wps:txbx>
                            <wps:bodyPr vert="vert270" rtlCol="0" anchor="ctr"/>
                          </wps:wsp>
                          <wps:wsp>
                            <wps:cNvPr id="35" name="Arrow: Chevron 35"/>
                            <wps:cNvSpPr/>
                            <wps:spPr>
                              <a:xfrm rot="5400000">
                                <a:off x="965706" y="-229126"/>
                                <a:ext cx="1468075" cy="3394401"/>
                              </a:xfrm>
                              <a:prstGeom prst="chevron">
                                <a:avLst/>
                              </a:prstGeom>
                              <a:solidFill>
                                <a:schemeClr val="accent1">
                                  <a:alpha val="50000"/>
                                </a:schemeClr>
                              </a:solidFill>
                              <a:ln w="38100">
                                <a:solidFill>
                                  <a:srgbClr val="7030A0"/>
                                </a:solidFill>
                              </a:ln>
                            </wps:spPr>
                            <wps:style>
                              <a:lnRef idx="0">
                                <a:scrgbClr r="0" g="0" b="0"/>
                              </a:lnRef>
                              <a:fillRef idx="0">
                                <a:scrgbClr r="0" g="0" b="0"/>
                              </a:fillRef>
                              <a:effectRef idx="0">
                                <a:scrgbClr r="0" g="0" b="0"/>
                              </a:effectRef>
                              <a:fontRef idx="minor">
                                <a:schemeClr val="lt1"/>
                              </a:fontRef>
                            </wps:style>
                            <wps:txbx>
                              <w:txbxContent>
                                <w:p w14:paraId="7C637A7F" w14:textId="77777777" w:rsidR="00B54F1A" w:rsidRPr="005E5569" w:rsidRDefault="00B54F1A" w:rsidP="002435E3">
                                  <w:pPr>
                                    <w:jc w:val="center"/>
                                    <w:rPr>
                                      <w:rFonts w:asciiTheme="minorHAnsi"/>
                                      <w:b/>
                                      <w:bCs/>
                                      <w:color w:val="000000" w:themeColor="text1"/>
                                      <w:kern w:val="24"/>
                                      <w:sz w:val="24"/>
                                      <w:szCs w:val="24"/>
                                    </w:rPr>
                                  </w:pPr>
                                  <w:r w:rsidRPr="005E5569">
                                    <w:rPr>
                                      <w:rFonts w:asciiTheme="minorHAnsi"/>
                                      <w:b/>
                                      <w:bCs/>
                                      <w:color w:val="000000" w:themeColor="text1"/>
                                      <w:kern w:val="24"/>
                                      <w:sz w:val="24"/>
                                      <w:szCs w:val="24"/>
                                    </w:rPr>
                                    <w:br/>
                                  </w:r>
                                  <w:r w:rsidRPr="005E5569">
                                    <w:rPr>
                                      <w:rFonts w:asciiTheme="minorHAnsi"/>
                                      <w:b/>
                                      <w:bCs/>
                                      <w:color w:val="FFFFFF" w:themeColor="background1"/>
                                      <w:kern w:val="24"/>
                                      <w:sz w:val="24"/>
                                      <w:szCs w:val="24"/>
                                    </w:rPr>
                                    <w:t>25 November 2021</w:t>
                                  </w:r>
                                </w:p>
                              </w:txbxContent>
                            </wps:txbx>
                            <wps:bodyPr vert="vert270" rtlCol="0" anchor="ctr"/>
                          </wps:wsp>
                          <wps:wsp>
                            <wps:cNvPr id="36" name="Arrow: Chevron 36"/>
                            <wps:cNvSpPr/>
                            <wps:spPr>
                              <a:xfrm rot="5400000">
                                <a:off x="965705" y="504911"/>
                                <a:ext cx="1468075" cy="3394401"/>
                              </a:xfrm>
                              <a:prstGeom prst="chevron">
                                <a:avLst/>
                              </a:prstGeom>
                              <a:solidFill>
                                <a:schemeClr val="accent1">
                                  <a:alpha val="50000"/>
                                </a:schemeClr>
                              </a:solidFill>
                              <a:ln w="38100">
                                <a:solidFill>
                                  <a:srgbClr val="7030A0"/>
                                </a:solidFill>
                              </a:ln>
                            </wps:spPr>
                            <wps:style>
                              <a:lnRef idx="0">
                                <a:scrgbClr r="0" g="0" b="0"/>
                              </a:lnRef>
                              <a:fillRef idx="0">
                                <a:scrgbClr r="0" g="0" b="0"/>
                              </a:fillRef>
                              <a:effectRef idx="0">
                                <a:scrgbClr r="0" g="0" b="0"/>
                              </a:effectRef>
                              <a:fontRef idx="minor">
                                <a:schemeClr val="lt1"/>
                              </a:fontRef>
                            </wps:style>
                            <wps:txbx>
                              <w:txbxContent>
                                <w:p w14:paraId="0F5F553F" w14:textId="77777777" w:rsidR="00B54F1A" w:rsidRPr="005E5569" w:rsidRDefault="00B54F1A" w:rsidP="002435E3">
                                  <w:pPr>
                                    <w:jc w:val="center"/>
                                    <w:rPr>
                                      <w:rFonts w:asciiTheme="minorHAnsi"/>
                                      <w:b/>
                                      <w:bCs/>
                                      <w:color w:val="000000" w:themeColor="text1"/>
                                      <w:kern w:val="24"/>
                                      <w:sz w:val="24"/>
                                      <w:szCs w:val="24"/>
                                    </w:rPr>
                                  </w:pPr>
                                  <w:r w:rsidRPr="005E5569">
                                    <w:rPr>
                                      <w:rFonts w:asciiTheme="minorHAnsi"/>
                                      <w:b/>
                                      <w:bCs/>
                                      <w:color w:val="000000" w:themeColor="text1"/>
                                      <w:kern w:val="24"/>
                                      <w:sz w:val="24"/>
                                      <w:szCs w:val="24"/>
                                    </w:rPr>
                                    <w:br/>
                                  </w:r>
                                  <w:r w:rsidRPr="005E5569">
                                    <w:rPr>
                                      <w:rFonts w:asciiTheme="minorHAnsi"/>
                                      <w:b/>
                                      <w:bCs/>
                                      <w:color w:val="FFFFFF" w:themeColor="background1"/>
                                      <w:kern w:val="24"/>
                                      <w:sz w:val="24"/>
                                      <w:szCs w:val="24"/>
                                    </w:rPr>
                                    <w:t>14 April 2022</w:t>
                                  </w:r>
                                </w:p>
                              </w:txbxContent>
                            </wps:txbx>
                            <wps:bodyPr vert="vert270" rtlCol="0" anchor="ctr"/>
                          </wps:wsp>
                          <wps:wsp>
                            <wps:cNvPr id="37" name="Arrow: Chevron 37"/>
                            <wps:cNvSpPr/>
                            <wps:spPr>
                              <a:xfrm rot="5400000">
                                <a:off x="965705" y="1254329"/>
                                <a:ext cx="1468075" cy="3394401"/>
                              </a:xfrm>
                              <a:prstGeom prst="chevron">
                                <a:avLst/>
                              </a:prstGeom>
                              <a:solidFill>
                                <a:schemeClr val="accent1">
                                  <a:alpha val="50000"/>
                                </a:schemeClr>
                              </a:solidFill>
                              <a:ln w="38100">
                                <a:solidFill>
                                  <a:srgbClr val="7030A0"/>
                                </a:solidFill>
                              </a:ln>
                            </wps:spPr>
                            <wps:style>
                              <a:lnRef idx="0">
                                <a:scrgbClr r="0" g="0" b="0"/>
                              </a:lnRef>
                              <a:fillRef idx="0">
                                <a:scrgbClr r="0" g="0" b="0"/>
                              </a:fillRef>
                              <a:effectRef idx="0">
                                <a:scrgbClr r="0" g="0" b="0"/>
                              </a:effectRef>
                              <a:fontRef idx="minor">
                                <a:schemeClr val="lt1"/>
                              </a:fontRef>
                            </wps:style>
                            <wps:txbx>
                              <w:txbxContent>
                                <w:p w14:paraId="57561625" w14:textId="77777777" w:rsidR="00B54F1A" w:rsidRPr="005E5569" w:rsidRDefault="00B54F1A" w:rsidP="002435E3">
                                  <w:pPr>
                                    <w:jc w:val="center"/>
                                    <w:rPr>
                                      <w:rFonts w:asciiTheme="minorHAnsi"/>
                                      <w:b/>
                                      <w:bCs/>
                                      <w:color w:val="000000" w:themeColor="text1"/>
                                      <w:kern w:val="24"/>
                                      <w:sz w:val="24"/>
                                      <w:szCs w:val="24"/>
                                    </w:rPr>
                                  </w:pPr>
                                  <w:r w:rsidRPr="005E5569">
                                    <w:rPr>
                                      <w:rFonts w:asciiTheme="minorHAnsi"/>
                                      <w:b/>
                                      <w:bCs/>
                                      <w:color w:val="000000" w:themeColor="text1"/>
                                      <w:kern w:val="24"/>
                                      <w:sz w:val="24"/>
                                      <w:szCs w:val="24"/>
                                    </w:rPr>
                                    <w:br/>
                                  </w:r>
                                  <w:r w:rsidRPr="005E5569">
                                    <w:rPr>
                                      <w:rFonts w:asciiTheme="minorHAnsi"/>
                                      <w:b/>
                                      <w:bCs/>
                                      <w:color w:val="FFFFFF" w:themeColor="background1"/>
                                      <w:kern w:val="24"/>
                                      <w:sz w:val="24"/>
                                      <w:szCs w:val="24"/>
                                    </w:rPr>
                                    <w:t>26 April 2022</w:t>
                                  </w:r>
                                </w:p>
                              </w:txbxContent>
                            </wps:txbx>
                            <wps:bodyPr vert="vert270" rtlCol="0" anchor="ctr"/>
                          </wps:wsp>
                          <wps:wsp>
                            <wps:cNvPr id="38" name="Arrow: Chevron 38"/>
                            <wps:cNvSpPr/>
                            <wps:spPr>
                              <a:xfrm rot="5400000">
                                <a:off x="963169" y="1988367"/>
                                <a:ext cx="1468075" cy="3394401"/>
                              </a:xfrm>
                              <a:prstGeom prst="chevron">
                                <a:avLst/>
                              </a:prstGeom>
                              <a:solidFill>
                                <a:schemeClr val="accent1">
                                  <a:alpha val="50000"/>
                                </a:schemeClr>
                              </a:solidFill>
                              <a:ln w="38100">
                                <a:solidFill>
                                  <a:srgbClr val="7030A0"/>
                                </a:solidFill>
                              </a:ln>
                            </wps:spPr>
                            <wps:style>
                              <a:lnRef idx="0">
                                <a:scrgbClr r="0" g="0" b="0"/>
                              </a:lnRef>
                              <a:fillRef idx="0">
                                <a:scrgbClr r="0" g="0" b="0"/>
                              </a:fillRef>
                              <a:effectRef idx="0">
                                <a:scrgbClr r="0" g="0" b="0"/>
                              </a:effectRef>
                              <a:fontRef idx="minor">
                                <a:schemeClr val="lt1"/>
                              </a:fontRef>
                            </wps:style>
                            <wps:txbx>
                              <w:txbxContent>
                                <w:p w14:paraId="1C9C757E" w14:textId="77777777" w:rsidR="00B54F1A" w:rsidRPr="005E5569" w:rsidRDefault="00B54F1A" w:rsidP="002435E3">
                                  <w:pPr>
                                    <w:jc w:val="center"/>
                                    <w:rPr>
                                      <w:rFonts w:asciiTheme="minorHAnsi"/>
                                      <w:b/>
                                      <w:bCs/>
                                      <w:color w:val="000000" w:themeColor="text1"/>
                                      <w:kern w:val="24"/>
                                      <w:sz w:val="24"/>
                                      <w:szCs w:val="24"/>
                                    </w:rPr>
                                  </w:pPr>
                                  <w:r w:rsidRPr="005E5569">
                                    <w:rPr>
                                      <w:rFonts w:asciiTheme="minorHAnsi"/>
                                      <w:b/>
                                      <w:bCs/>
                                      <w:color w:val="000000" w:themeColor="text1"/>
                                      <w:kern w:val="24"/>
                                      <w:sz w:val="24"/>
                                      <w:szCs w:val="24"/>
                                    </w:rPr>
                                    <w:br/>
                                  </w:r>
                                  <w:r w:rsidRPr="005E5569">
                                    <w:rPr>
                                      <w:rFonts w:asciiTheme="minorHAnsi"/>
                                      <w:b/>
                                      <w:bCs/>
                                      <w:color w:val="FFFFFF" w:themeColor="background1"/>
                                      <w:kern w:val="24"/>
                                      <w:sz w:val="24"/>
                                      <w:szCs w:val="24"/>
                                    </w:rPr>
                                    <w:t>5 May 2022</w:t>
                                  </w:r>
                                </w:p>
                              </w:txbxContent>
                            </wps:txbx>
                            <wps:bodyPr vert="vert270" rtlCol="0" anchor="ctr"/>
                          </wps:wsp>
                          <wps:wsp>
                            <wps:cNvPr id="39" name="Arrow: Chevron 39"/>
                            <wps:cNvSpPr/>
                            <wps:spPr>
                              <a:xfrm rot="5400000">
                                <a:off x="963164" y="3478818"/>
                                <a:ext cx="1468075" cy="3394401"/>
                              </a:xfrm>
                              <a:prstGeom prst="chevron">
                                <a:avLst/>
                              </a:prstGeom>
                              <a:solidFill>
                                <a:schemeClr val="accent1">
                                  <a:alpha val="50000"/>
                                </a:schemeClr>
                              </a:solidFill>
                              <a:ln w="38100">
                                <a:solidFill>
                                  <a:srgbClr val="7030A0"/>
                                </a:solidFill>
                              </a:ln>
                            </wps:spPr>
                            <wps:style>
                              <a:lnRef idx="0">
                                <a:scrgbClr r="0" g="0" b="0"/>
                              </a:lnRef>
                              <a:fillRef idx="0">
                                <a:scrgbClr r="0" g="0" b="0"/>
                              </a:fillRef>
                              <a:effectRef idx="0">
                                <a:scrgbClr r="0" g="0" b="0"/>
                              </a:effectRef>
                              <a:fontRef idx="minor">
                                <a:schemeClr val="lt1"/>
                              </a:fontRef>
                            </wps:style>
                            <wps:txbx>
                              <w:txbxContent>
                                <w:p w14:paraId="39541367" w14:textId="77777777" w:rsidR="00B54F1A" w:rsidRPr="001B3A3C" w:rsidRDefault="00B54F1A" w:rsidP="002435E3">
                                  <w:pPr>
                                    <w:jc w:val="center"/>
                                    <w:rPr>
                                      <w:rFonts w:asciiTheme="minorHAnsi"/>
                                      <w:b/>
                                      <w:bCs/>
                                      <w:color w:val="000000" w:themeColor="text1"/>
                                      <w:kern w:val="24"/>
                                      <w:sz w:val="24"/>
                                      <w:szCs w:val="24"/>
                                    </w:rPr>
                                  </w:pPr>
                                  <w:r w:rsidRPr="001B3A3C">
                                    <w:rPr>
                                      <w:rFonts w:asciiTheme="minorHAnsi"/>
                                      <w:b/>
                                      <w:bCs/>
                                      <w:color w:val="000000" w:themeColor="text1"/>
                                      <w:kern w:val="24"/>
                                      <w:sz w:val="24"/>
                                      <w:szCs w:val="24"/>
                                    </w:rPr>
                                    <w:br/>
                                  </w:r>
                                  <w:r w:rsidRPr="001B3A3C">
                                    <w:rPr>
                                      <w:rFonts w:asciiTheme="minorHAnsi"/>
                                      <w:b/>
                                      <w:bCs/>
                                      <w:color w:val="FFFFFF" w:themeColor="background1"/>
                                      <w:kern w:val="24"/>
                                      <w:sz w:val="24"/>
                                      <w:szCs w:val="24"/>
                                    </w:rPr>
                                    <w:t>21 July 2022</w:t>
                                  </w:r>
                                </w:p>
                              </w:txbxContent>
                            </wps:txbx>
                            <wps:bodyPr vert="vert270" rtlCol="0" anchor="ctr"/>
                          </wps:wsp>
                          <wps:wsp>
                            <wps:cNvPr id="40" name="Arrow: Chevron 40"/>
                            <wps:cNvSpPr/>
                            <wps:spPr>
                              <a:xfrm rot="5400000">
                                <a:off x="963167" y="4226834"/>
                                <a:ext cx="1468075" cy="3394401"/>
                              </a:xfrm>
                              <a:prstGeom prst="chevron">
                                <a:avLst/>
                              </a:prstGeom>
                              <a:solidFill>
                                <a:schemeClr val="accent1">
                                  <a:alpha val="50000"/>
                                </a:schemeClr>
                              </a:solidFill>
                              <a:ln w="38100">
                                <a:solidFill>
                                  <a:srgbClr val="7030A0"/>
                                </a:solidFill>
                              </a:ln>
                            </wps:spPr>
                            <wps:style>
                              <a:lnRef idx="0">
                                <a:scrgbClr r="0" g="0" b="0"/>
                              </a:lnRef>
                              <a:fillRef idx="0">
                                <a:scrgbClr r="0" g="0" b="0"/>
                              </a:fillRef>
                              <a:effectRef idx="0">
                                <a:scrgbClr r="0" g="0" b="0"/>
                              </a:effectRef>
                              <a:fontRef idx="minor">
                                <a:schemeClr val="lt1"/>
                              </a:fontRef>
                            </wps:style>
                            <wps:txbx>
                              <w:txbxContent>
                                <w:p w14:paraId="69792BD6" w14:textId="77777777" w:rsidR="00B54F1A" w:rsidRPr="005E5569" w:rsidRDefault="00B54F1A" w:rsidP="002435E3">
                                  <w:pPr>
                                    <w:jc w:val="center"/>
                                    <w:rPr>
                                      <w:rFonts w:asciiTheme="minorHAnsi"/>
                                      <w:b/>
                                      <w:bCs/>
                                      <w:color w:val="000000" w:themeColor="text1"/>
                                      <w:kern w:val="24"/>
                                      <w:sz w:val="24"/>
                                      <w:szCs w:val="24"/>
                                    </w:rPr>
                                  </w:pPr>
                                  <w:r w:rsidRPr="005E5569">
                                    <w:rPr>
                                      <w:rFonts w:asciiTheme="minorHAnsi"/>
                                      <w:b/>
                                      <w:bCs/>
                                      <w:color w:val="000000" w:themeColor="text1"/>
                                      <w:kern w:val="24"/>
                                      <w:sz w:val="24"/>
                                      <w:szCs w:val="24"/>
                                    </w:rPr>
                                    <w:br/>
                                  </w:r>
                                  <w:r w:rsidRPr="005E5569">
                                    <w:rPr>
                                      <w:rFonts w:asciiTheme="minorHAnsi"/>
                                      <w:b/>
                                      <w:bCs/>
                                      <w:color w:val="FFFFFF" w:themeColor="background1"/>
                                      <w:kern w:val="24"/>
                                      <w:sz w:val="24"/>
                                      <w:szCs w:val="24"/>
                                    </w:rPr>
                                    <w:t>15 November 2022</w:t>
                                  </w:r>
                                </w:p>
                              </w:txbxContent>
                            </wps:txbx>
                            <wps:bodyPr vert="vert270" rtlCol="0" anchor="ctr"/>
                          </wps:wsp>
                          <wps:wsp>
                            <wps:cNvPr id="41" name="Arrow: Chevron 41"/>
                            <wps:cNvSpPr/>
                            <wps:spPr>
                              <a:xfrm rot="5400000">
                                <a:off x="963166" y="4960870"/>
                                <a:ext cx="1468075" cy="3394401"/>
                              </a:xfrm>
                              <a:prstGeom prst="chevron">
                                <a:avLst/>
                              </a:prstGeom>
                              <a:solidFill>
                                <a:schemeClr val="accent1">
                                  <a:alpha val="50000"/>
                                </a:schemeClr>
                              </a:solidFill>
                              <a:ln w="38100">
                                <a:solidFill>
                                  <a:srgbClr val="7030A0"/>
                                </a:solidFill>
                              </a:ln>
                            </wps:spPr>
                            <wps:style>
                              <a:lnRef idx="0">
                                <a:scrgbClr r="0" g="0" b="0"/>
                              </a:lnRef>
                              <a:fillRef idx="0">
                                <a:scrgbClr r="0" g="0" b="0"/>
                              </a:fillRef>
                              <a:effectRef idx="0">
                                <a:scrgbClr r="0" g="0" b="0"/>
                              </a:effectRef>
                              <a:fontRef idx="minor">
                                <a:schemeClr val="lt1"/>
                              </a:fontRef>
                            </wps:style>
                            <wps:txbx>
                              <w:txbxContent>
                                <w:p w14:paraId="68938D47" w14:textId="77777777" w:rsidR="00B54F1A" w:rsidRPr="005E5569" w:rsidRDefault="00B54F1A" w:rsidP="002435E3">
                                  <w:pPr>
                                    <w:jc w:val="center"/>
                                    <w:rPr>
                                      <w:rFonts w:asciiTheme="minorHAnsi"/>
                                      <w:b/>
                                      <w:bCs/>
                                      <w:color w:val="000000" w:themeColor="text1"/>
                                      <w:kern w:val="24"/>
                                      <w:sz w:val="24"/>
                                      <w:szCs w:val="24"/>
                                    </w:rPr>
                                  </w:pPr>
                                  <w:r w:rsidRPr="005E5569">
                                    <w:rPr>
                                      <w:rFonts w:asciiTheme="minorHAnsi"/>
                                      <w:b/>
                                      <w:bCs/>
                                      <w:color w:val="000000" w:themeColor="text1"/>
                                      <w:kern w:val="24"/>
                                      <w:sz w:val="24"/>
                                      <w:szCs w:val="24"/>
                                    </w:rPr>
                                    <w:br/>
                                  </w:r>
                                  <w:r w:rsidRPr="005E5569">
                                    <w:rPr>
                                      <w:rFonts w:asciiTheme="minorHAnsi"/>
                                      <w:b/>
                                      <w:bCs/>
                                      <w:color w:val="FFFFFF" w:themeColor="background1"/>
                                      <w:kern w:val="24"/>
                                      <w:sz w:val="24"/>
                                      <w:szCs w:val="24"/>
                                    </w:rPr>
                                    <w:t>23 November 2022</w:t>
                                  </w:r>
                                </w:p>
                              </w:txbxContent>
                            </wps:txbx>
                            <wps:bodyPr vert="vert270" rtlCol="0" anchor="ctr"/>
                          </wps:wsp>
                        </wpg:grpSp>
                      </wpg:grpSp>
                      <wps:wsp>
                        <wps:cNvPr id="42" name="Arrow: Chevron 42"/>
                        <wps:cNvSpPr/>
                        <wps:spPr>
                          <a:xfrm rot="5400000">
                            <a:off x="1410940" y="3852051"/>
                            <a:ext cx="1136778" cy="3958658"/>
                          </a:xfrm>
                          <a:prstGeom prst="chevron">
                            <a:avLst/>
                          </a:prstGeom>
                          <a:solidFill>
                            <a:schemeClr val="accent1">
                              <a:alpha val="50000"/>
                            </a:schemeClr>
                          </a:solidFill>
                          <a:ln w="38100">
                            <a:solidFill>
                              <a:srgbClr val="7030A0"/>
                            </a:solidFill>
                          </a:ln>
                        </wps:spPr>
                        <wps:style>
                          <a:lnRef idx="0">
                            <a:scrgbClr r="0" g="0" b="0"/>
                          </a:lnRef>
                          <a:fillRef idx="0">
                            <a:scrgbClr r="0" g="0" b="0"/>
                          </a:fillRef>
                          <a:effectRef idx="0">
                            <a:scrgbClr r="0" g="0" b="0"/>
                          </a:effectRef>
                          <a:fontRef idx="minor">
                            <a:schemeClr val="lt1"/>
                          </a:fontRef>
                        </wps:style>
                        <wps:txbx>
                          <w:txbxContent>
                            <w:p w14:paraId="7F9FC324" w14:textId="77777777" w:rsidR="00B54F1A" w:rsidRPr="005E5569" w:rsidRDefault="00B54F1A" w:rsidP="002435E3">
                              <w:pPr>
                                <w:jc w:val="center"/>
                                <w:rPr>
                                  <w:rFonts w:asciiTheme="minorHAnsi"/>
                                  <w:b/>
                                  <w:bCs/>
                                  <w:color w:val="000000" w:themeColor="text1"/>
                                  <w:kern w:val="24"/>
                                  <w:sz w:val="24"/>
                                  <w:szCs w:val="24"/>
                                </w:rPr>
                              </w:pPr>
                              <w:r w:rsidRPr="005E5569">
                                <w:rPr>
                                  <w:rFonts w:asciiTheme="minorHAnsi"/>
                                  <w:b/>
                                  <w:bCs/>
                                  <w:color w:val="000000" w:themeColor="text1"/>
                                  <w:kern w:val="24"/>
                                  <w:sz w:val="24"/>
                                  <w:szCs w:val="24"/>
                                </w:rPr>
                                <w:br/>
                              </w:r>
                              <w:r w:rsidRPr="005E5569">
                                <w:rPr>
                                  <w:rFonts w:asciiTheme="minorHAnsi"/>
                                  <w:b/>
                                  <w:bCs/>
                                  <w:color w:val="FFFFFF" w:themeColor="background1"/>
                                  <w:kern w:val="24"/>
                                  <w:sz w:val="24"/>
                                  <w:szCs w:val="24"/>
                                </w:rPr>
                                <w:t>5 December 2022</w:t>
                              </w:r>
                            </w:p>
                          </w:txbxContent>
                        </wps:txbx>
                        <wps:bodyPr vert="vert270" rtlCol="0" anchor="ctr"/>
                      </wps:wsp>
                    </wpg:wgp>
                  </a:graphicData>
                </a:graphic>
                <wp14:sizeRelH relativeFrom="margin">
                  <wp14:pctWidth>0</wp14:pctWidth>
                </wp14:sizeRelH>
                <wp14:sizeRelV relativeFrom="margin">
                  <wp14:pctHeight>0</wp14:pctHeight>
                </wp14:sizeRelV>
              </wp:anchor>
            </w:drawing>
          </mc:Choice>
          <mc:Fallback>
            <w:pict>
              <v:group w14:anchorId="50DD9FE2" id="Group 26" o:spid="_x0000_s1026" style="position:absolute;margin-left:-11.25pt;margin-top:30.7pt;width:195pt;height:657.75pt;z-index:-251643904;mso-width-relative:margin;mso-height-relative:margin" coordsize="39616,63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">
                <v:group id="Group 31" o:spid="_x0000_s1027" style="position:absolute;width:39616;height:58555" coordorigin="" coordsize="33969,7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2" o:spid="_x0000_s1028" type="#_x0000_t55" style="position:absolute;left:9631;top:27378;width:14681;height:339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" adj="10800" fillcolor="#410099 [3204]" strokecolor="#7030a0" strokeweight="3pt">
                    <v:fill opacity="32896f"/>
                    <v:textbox style="layout-flow:vertical;mso-layout-flow-alt:bottom-to-top">
                      <w:txbxContent>
                        <w:p w14:paraId="48B2E3CE" w14:textId="288DBDC4" w:rsidR="00B54F1A" w:rsidRPr="005E5569" w:rsidRDefault="00B54F1A" w:rsidP="002435E3">
                          <w:pPr>
                            <w:jc w:val="center"/>
                            <w:rPr>
                              <w:rFonts w:asciiTheme="minorHAnsi"/>
                              <w:b/>
                              <w:bCs/>
                              <w:color w:val="000000" w:themeColor="text1"/>
                              <w:kern w:val="24"/>
                              <w:sz w:val="24"/>
                              <w:szCs w:val="24"/>
                            </w:rPr>
                          </w:pPr>
                          <w:r w:rsidRPr="005E5569">
                            <w:rPr>
                              <w:rFonts w:asciiTheme="minorHAnsi"/>
                              <w:b/>
                              <w:bCs/>
                              <w:color w:val="000000" w:themeColor="text1"/>
                              <w:kern w:val="24"/>
                              <w:sz w:val="24"/>
                              <w:szCs w:val="24"/>
                            </w:rPr>
                            <w:br/>
                          </w:r>
                          <w:r w:rsidRPr="005E5569">
                            <w:rPr>
                              <w:rFonts w:asciiTheme="minorHAnsi"/>
                              <w:b/>
                              <w:bCs/>
                              <w:color w:val="FFFFFF" w:themeColor="background1"/>
                              <w:kern w:val="24"/>
                              <w:sz w:val="24"/>
                              <w:szCs w:val="24"/>
                            </w:rPr>
                            <w:t>13 May – 13 June 2022</w:t>
                          </w:r>
                        </w:p>
                      </w:txbxContent>
                    </v:textbox>
                  </v:shape>
                  <v:group id="Group 33" o:spid="_x0000_s1029" style="position:absolute;width:33969;height:73934" coordorigin="" coordsize="33969,73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rrow: Chevron 34" o:spid="_x0000_s1030" type="#_x0000_t55" style="position:absolute;left:9657;top:-9632;width:14680;height:339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" adj="10800" fillcolor="#410099 [3204]" strokecolor="#7030a0" strokeweight="3pt">
                      <v:fill opacity="32896f"/>
                      <v:textbox style="layout-flow:vertical;mso-layout-flow-alt:bottom-to-top">
                        <w:txbxContent>
                          <w:p w14:paraId="11DA3D04" w14:textId="77777777" w:rsidR="00B54F1A" w:rsidRPr="005E5569" w:rsidRDefault="00B54F1A" w:rsidP="002435E3">
                            <w:pPr>
                              <w:jc w:val="center"/>
                              <w:rPr>
                                <w:rFonts w:asciiTheme="minorHAnsi"/>
                                <w:b/>
                                <w:bCs/>
                                <w:color w:val="000000" w:themeColor="text1"/>
                                <w:kern w:val="24"/>
                                <w:sz w:val="24"/>
                                <w:szCs w:val="24"/>
                              </w:rPr>
                            </w:pPr>
                            <w:r w:rsidRPr="005E5569">
                              <w:rPr>
                                <w:rFonts w:asciiTheme="minorHAnsi"/>
                                <w:b/>
                                <w:bCs/>
                                <w:color w:val="000000" w:themeColor="text1"/>
                                <w:kern w:val="24"/>
                                <w:sz w:val="24"/>
                                <w:szCs w:val="24"/>
                              </w:rPr>
                              <w:br/>
                            </w:r>
                            <w:r w:rsidRPr="005E5569">
                              <w:rPr>
                                <w:rFonts w:asciiTheme="minorHAnsi"/>
                                <w:b/>
                                <w:bCs/>
                                <w:color w:val="FFFFFF" w:themeColor="background1"/>
                                <w:kern w:val="24"/>
                                <w:sz w:val="24"/>
                                <w:szCs w:val="24"/>
                              </w:rPr>
                              <w:t>2 August 2021</w:t>
                            </w:r>
                          </w:p>
                        </w:txbxContent>
                      </v:textbox>
                    </v:shape>
                    <v:shape id="Arrow: Chevron 35" o:spid="_x0000_s1031" type="#_x0000_t55" style="position:absolute;left:9656;top:-2291;width:14681;height:339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" adj="10800" fillcolor="#410099 [3204]" strokecolor="#7030a0" strokeweight="3pt">
                      <v:fill opacity="32896f"/>
                      <v:textbox style="layout-flow:vertical;mso-layout-flow-alt:bottom-to-top">
                        <w:txbxContent>
                          <w:p w14:paraId="7C637A7F" w14:textId="77777777" w:rsidR="00B54F1A" w:rsidRPr="005E5569" w:rsidRDefault="00B54F1A" w:rsidP="002435E3">
                            <w:pPr>
                              <w:jc w:val="center"/>
                              <w:rPr>
                                <w:rFonts w:asciiTheme="minorHAnsi"/>
                                <w:b/>
                                <w:bCs/>
                                <w:color w:val="000000" w:themeColor="text1"/>
                                <w:kern w:val="24"/>
                                <w:sz w:val="24"/>
                                <w:szCs w:val="24"/>
                              </w:rPr>
                            </w:pPr>
                            <w:r w:rsidRPr="005E5569">
                              <w:rPr>
                                <w:rFonts w:asciiTheme="minorHAnsi"/>
                                <w:b/>
                                <w:bCs/>
                                <w:color w:val="000000" w:themeColor="text1"/>
                                <w:kern w:val="24"/>
                                <w:sz w:val="24"/>
                                <w:szCs w:val="24"/>
                              </w:rPr>
                              <w:br/>
                            </w:r>
                            <w:r w:rsidRPr="005E5569">
                              <w:rPr>
                                <w:rFonts w:asciiTheme="minorHAnsi"/>
                                <w:b/>
                                <w:bCs/>
                                <w:color w:val="FFFFFF" w:themeColor="background1"/>
                                <w:kern w:val="24"/>
                                <w:sz w:val="24"/>
                                <w:szCs w:val="24"/>
                              </w:rPr>
                              <w:t>25 November 2021</w:t>
                            </w:r>
                          </w:p>
                        </w:txbxContent>
                      </v:textbox>
                    </v:shape>
                    <v:shape id="Arrow: Chevron 36" o:spid="_x0000_s1032" type="#_x0000_t55" style="position:absolute;left:9656;top:5049;width:14681;height:339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" adj="10800" fillcolor="#410099 [3204]" strokecolor="#7030a0" strokeweight="3pt">
                      <v:fill opacity="32896f"/>
                      <v:textbox style="layout-flow:vertical;mso-layout-flow-alt:bottom-to-top">
                        <w:txbxContent>
                          <w:p w14:paraId="0F5F553F" w14:textId="77777777" w:rsidR="00B54F1A" w:rsidRPr="005E5569" w:rsidRDefault="00B54F1A" w:rsidP="002435E3">
                            <w:pPr>
                              <w:jc w:val="center"/>
                              <w:rPr>
                                <w:rFonts w:asciiTheme="minorHAnsi"/>
                                <w:b/>
                                <w:bCs/>
                                <w:color w:val="000000" w:themeColor="text1"/>
                                <w:kern w:val="24"/>
                                <w:sz w:val="24"/>
                                <w:szCs w:val="24"/>
                              </w:rPr>
                            </w:pPr>
                            <w:r w:rsidRPr="005E5569">
                              <w:rPr>
                                <w:rFonts w:asciiTheme="minorHAnsi"/>
                                <w:b/>
                                <w:bCs/>
                                <w:color w:val="000000" w:themeColor="text1"/>
                                <w:kern w:val="24"/>
                                <w:sz w:val="24"/>
                                <w:szCs w:val="24"/>
                              </w:rPr>
                              <w:br/>
                            </w:r>
                            <w:r w:rsidRPr="005E5569">
                              <w:rPr>
                                <w:rFonts w:asciiTheme="minorHAnsi"/>
                                <w:b/>
                                <w:bCs/>
                                <w:color w:val="FFFFFF" w:themeColor="background1"/>
                                <w:kern w:val="24"/>
                                <w:sz w:val="24"/>
                                <w:szCs w:val="24"/>
                              </w:rPr>
                              <w:t>14 April 2022</w:t>
                            </w:r>
                          </w:p>
                        </w:txbxContent>
                      </v:textbox>
                    </v:shape>
                    <v:shape id="Arrow: Chevron 37" o:spid="_x0000_s1033" type="#_x0000_t55" style="position:absolute;left:9656;top:12543;width:14681;height:339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" adj="10800" fillcolor="#410099 [3204]" strokecolor="#7030a0" strokeweight="3pt">
                      <v:fill opacity="32896f"/>
                      <v:textbox style="layout-flow:vertical;mso-layout-flow-alt:bottom-to-top">
                        <w:txbxContent>
                          <w:p w14:paraId="57561625" w14:textId="77777777" w:rsidR="00B54F1A" w:rsidRPr="005E5569" w:rsidRDefault="00B54F1A" w:rsidP="002435E3">
                            <w:pPr>
                              <w:jc w:val="center"/>
                              <w:rPr>
                                <w:rFonts w:asciiTheme="minorHAnsi"/>
                                <w:b/>
                                <w:bCs/>
                                <w:color w:val="000000" w:themeColor="text1"/>
                                <w:kern w:val="24"/>
                                <w:sz w:val="24"/>
                                <w:szCs w:val="24"/>
                              </w:rPr>
                            </w:pPr>
                            <w:r w:rsidRPr="005E5569">
                              <w:rPr>
                                <w:rFonts w:asciiTheme="minorHAnsi"/>
                                <w:b/>
                                <w:bCs/>
                                <w:color w:val="000000" w:themeColor="text1"/>
                                <w:kern w:val="24"/>
                                <w:sz w:val="24"/>
                                <w:szCs w:val="24"/>
                              </w:rPr>
                              <w:br/>
                            </w:r>
                            <w:r w:rsidRPr="005E5569">
                              <w:rPr>
                                <w:rFonts w:asciiTheme="minorHAnsi"/>
                                <w:b/>
                                <w:bCs/>
                                <w:color w:val="FFFFFF" w:themeColor="background1"/>
                                <w:kern w:val="24"/>
                                <w:sz w:val="24"/>
                                <w:szCs w:val="24"/>
                              </w:rPr>
                              <w:t>26 April 2022</w:t>
                            </w:r>
                          </w:p>
                        </w:txbxContent>
                      </v:textbox>
                    </v:shape>
                    <v:shape id="Arrow: Chevron 38" o:spid="_x0000_s1034" type="#_x0000_t55" style="position:absolute;left:9631;top:19884;width:14681;height:339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" adj="10800" fillcolor="#410099 [3204]" strokecolor="#7030a0" strokeweight="3pt">
                      <v:fill opacity="32896f"/>
                      <v:textbox style="layout-flow:vertical;mso-layout-flow-alt:bottom-to-top">
                        <w:txbxContent>
                          <w:p w14:paraId="1C9C757E" w14:textId="77777777" w:rsidR="00B54F1A" w:rsidRPr="005E5569" w:rsidRDefault="00B54F1A" w:rsidP="002435E3">
                            <w:pPr>
                              <w:jc w:val="center"/>
                              <w:rPr>
                                <w:rFonts w:asciiTheme="minorHAnsi"/>
                                <w:b/>
                                <w:bCs/>
                                <w:color w:val="000000" w:themeColor="text1"/>
                                <w:kern w:val="24"/>
                                <w:sz w:val="24"/>
                                <w:szCs w:val="24"/>
                              </w:rPr>
                            </w:pPr>
                            <w:r w:rsidRPr="005E5569">
                              <w:rPr>
                                <w:rFonts w:asciiTheme="minorHAnsi"/>
                                <w:b/>
                                <w:bCs/>
                                <w:color w:val="000000" w:themeColor="text1"/>
                                <w:kern w:val="24"/>
                                <w:sz w:val="24"/>
                                <w:szCs w:val="24"/>
                              </w:rPr>
                              <w:br/>
                            </w:r>
                            <w:r w:rsidRPr="005E5569">
                              <w:rPr>
                                <w:rFonts w:asciiTheme="minorHAnsi"/>
                                <w:b/>
                                <w:bCs/>
                                <w:color w:val="FFFFFF" w:themeColor="background1"/>
                                <w:kern w:val="24"/>
                                <w:sz w:val="24"/>
                                <w:szCs w:val="24"/>
                              </w:rPr>
                              <w:t>5 May 2022</w:t>
                            </w:r>
                          </w:p>
                        </w:txbxContent>
                      </v:textbox>
                    </v:shape>
                    <v:shape id="Arrow: Chevron 39" o:spid="_x0000_s1035" type="#_x0000_t55" style="position:absolute;left:9631;top:34788;width:14681;height:339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" adj="10800" fillcolor="#410099 [3204]" strokecolor="#7030a0" strokeweight="3pt">
                      <v:fill opacity="32896f"/>
                      <v:textbox style="layout-flow:vertical;mso-layout-flow-alt:bottom-to-top">
                        <w:txbxContent>
                          <w:p w14:paraId="39541367" w14:textId="77777777" w:rsidR="00B54F1A" w:rsidRPr="001B3A3C" w:rsidRDefault="00B54F1A" w:rsidP="002435E3">
                            <w:pPr>
                              <w:jc w:val="center"/>
                              <w:rPr>
                                <w:rFonts w:asciiTheme="minorHAnsi"/>
                                <w:b/>
                                <w:bCs/>
                                <w:color w:val="000000" w:themeColor="text1"/>
                                <w:kern w:val="24"/>
                                <w:sz w:val="24"/>
                                <w:szCs w:val="24"/>
                              </w:rPr>
                            </w:pPr>
                            <w:r w:rsidRPr="001B3A3C">
                              <w:rPr>
                                <w:rFonts w:asciiTheme="minorHAnsi"/>
                                <w:b/>
                                <w:bCs/>
                                <w:color w:val="000000" w:themeColor="text1"/>
                                <w:kern w:val="24"/>
                                <w:sz w:val="24"/>
                                <w:szCs w:val="24"/>
                              </w:rPr>
                              <w:br/>
                            </w:r>
                            <w:r w:rsidRPr="001B3A3C">
                              <w:rPr>
                                <w:rFonts w:asciiTheme="minorHAnsi"/>
                                <w:b/>
                                <w:bCs/>
                                <w:color w:val="FFFFFF" w:themeColor="background1"/>
                                <w:kern w:val="24"/>
                                <w:sz w:val="24"/>
                                <w:szCs w:val="24"/>
                              </w:rPr>
                              <w:t>21 July 2022</w:t>
                            </w:r>
                          </w:p>
                        </w:txbxContent>
                      </v:textbox>
                    </v:shape>
                    <v:shape id="Arrow: Chevron 40" o:spid="_x0000_s1036" type="#_x0000_t55" style="position:absolute;left:9631;top:42268;width:14681;height:339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" adj="10800" fillcolor="#410099 [3204]" strokecolor="#7030a0" strokeweight="3pt">
                      <v:fill opacity="32896f"/>
                      <v:textbox style="layout-flow:vertical;mso-layout-flow-alt:bottom-to-top">
                        <w:txbxContent>
                          <w:p w14:paraId="69792BD6" w14:textId="77777777" w:rsidR="00B54F1A" w:rsidRPr="005E5569" w:rsidRDefault="00B54F1A" w:rsidP="002435E3">
                            <w:pPr>
                              <w:jc w:val="center"/>
                              <w:rPr>
                                <w:rFonts w:asciiTheme="minorHAnsi"/>
                                <w:b/>
                                <w:bCs/>
                                <w:color w:val="000000" w:themeColor="text1"/>
                                <w:kern w:val="24"/>
                                <w:sz w:val="24"/>
                                <w:szCs w:val="24"/>
                              </w:rPr>
                            </w:pPr>
                            <w:r w:rsidRPr="005E5569">
                              <w:rPr>
                                <w:rFonts w:asciiTheme="minorHAnsi"/>
                                <w:b/>
                                <w:bCs/>
                                <w:color w:val="000000" w:themeColor="text1"/>
                                <w:kern w:val="24"/>
                                <w:sz w:val="24"/>
                                <w:szCs w:val="24"/>
                              </w:rPr>
                              <w:br/>
                            </w:r>
                            <w:r w:rsidRPr="005E5569">
                              <w:rPr>
                                <w:rFonts w:asciiTheme="minorHAnsi"/>
                                <w:b/>
                                <w:bCs/>
                                <w:color w:val="FFFFFF" w:themeColor="background1"/>
                                <w:kern w:val="24"/>
                                <w:sz w:val="24"/>
                                <w:szCs w:val="24"/>
                              </w:rPr>
                              <w:t>15 November 2022</w:t>
                            </w:r>
                          </w:p>
                        </w:txbxContent>
                      </v:textbox>
                    </v:shape>
                    <v:shape id="Arrow: Chevron 41" o:spid="_x0000_s1037" type="#_x0000_t55" style="position:absolute;left:9631;top:49609;width:14681;height:339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" adj="10800" fillcolor="#410099 [3204]" strokecolor="#7030a0" strokeweight="3pt">
                      <v:fill opacity="32896f"/>
                      <v:textbox style="layout-flow:vertical;mso-layout-flow-alt:bottom-to-top">
                        <w:txbxContent>
                          <w:p w14:paraId="68938D47" w14:textId="77777777" w:rsidR="00B54F1A" w:rsidRPr="005E5569" w:rsidRDefault="00B54F1A" w:rsidP="002435E3">
                            <w:pPr>
                              <w:jc w:val="center"/>
                              <w:rPr>
                                <w:rFonts w:asciiTheme="minorHAnsi"/>
                                <w:b/>
                                <w:bCs/>
                                <w:color w:val="000000" w:themeColor="text1"/>
                                <w:kern w:val="24"/>
                                <w:sz w:val="24"/>
                                <w:szCs w:val="24"/>
                              </w:rPr>
                            </w:pPr>
                            <w:r w:rsidRPr="005E5569">
                              <w:rPr>
                                <w:rFonts w:asciiTheme="minorHAnsi"/>
                                <w:b/>
                                <w:bCs/>
                                <w:color w:val="000000" w:themeColor="text1"/>
                                <w:kern w:val="24"/>
                                <w:sz w:val="24"/>
                                <w:szCs w:val="24"/>
                              </w:rPr>
                              <w:br/>
                            </w:r>
                            <w:r w:rsidRPr="005E5569">
                              <w:rPr>
                                <w:rFonts w:asciiTheme="minorHAnsi"/>
                                <w:b/>
                                <w:bCs/>
                                <w:color w:val="FFFFFF" w:themeColor="background1"/>
                                <w:kern w:val="24"/>
                                <w:sz w:val="24"/>
                                <w:szCs w:val="24"/>
                              </w:rPr>
                              <w:t>23 November 2022</w:t>
                            </w:r>
                          </w:p>
                        </w:txbxContent>
                      </v:textbox>
                    </v:shape>
                  </v:group>
                </v:group>
                <v:shape id="Arrow: Chevron 42" o:spid="_x0000_s1038" type="#_x0000_t55" style="position:absolute;left:14109;top:38520;width:11368;height:395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" adj="10800" fillcolor="#410099 [3204]" strokecolor="#7030a0" strokeweight="3pt">
                  <v:fill opacity="32896f"/>
                  <v:textbox style="layout-flow:vertical;mso-layout-flow-alt:bottom-to-top">
                    <w:txbxContent>
                      <w:p w14:paraId="7F9FC324" w14:textId="77777777" w:rsidR="00B54F1A" w:rsidRPr="005E5569" w:rsidRDefault="00B54F1A" w:rsidP="002435E3">
                        <w:pPr>
                          <w:jc w:val="center"/>
                          <w:rPr>
                            <w:rFonts w:asciiTheme="minorHAnsi"/>
                            <w:b/>
                            <w:bCs/>
                            <w:color w:val="000000" w:themeColor="text1"/>
                            <w:kern w:val="24"/>
                            <w:sz w:val="24"/>
                            <w:szCs w:val="24"/>
                          </w:rPr>
                        </w:pPr>
                        <w:r w:rsidRPr="005E5569">
                          <w:rPr>
                            <w:rFonts w:asciiTheme="minorHAnsi"/>
                            <w:b/>
                            <w:bCs/>
                            <w:color w:val="000000" w:themeColor="text1"/>
                            <w:kern w:val="24"/>
                            <w:sz w:val="24"/>
                            <w:szCs w:val="24"/>
                          </w:rPr>
                          <w:br/>
                        </w:r>
                        <w:r w:rsidRPr="005E5569">
                          <w:rPr>
                            <w:rFonts w:asciiTheme="minorHAnsi"/>
                            <w:b/>
                            <w:bCs/>
                            <w:color w:val="FFFFFF" w:themeColor="background1"/>
                            <w:kern w:val="24"/>
                            <w:sz w:val="24"/>
                            <w:szCs w:val="24"/>
                          </w:rPr>
                          <w:t>5 December 2022</w:t>
                        </w:r>
                      </w:p>
                    </w:txbxContent>
                  </v:textbox>
                </v:shape>
              </v:group>
            </w:pict>
          </mc:Fallback>
        </mc:AlternateContent>
      </w:r>
      <w:r w:rsidR="0063203E">
        <w:t>Appendix</w:t>
      </w:r>
      <w:r w:rsidR="0039187A">
        <w:t xml:space="preserve"> A </w:t>
      </w:r>
      <w:r w:rsidR="005C5309">
        <w:t xml:space="preserve">: </w:t>
      </w:r>
      <w:r w:rsidR="00A10740">
        <w:t>M</w:t>
      </w:r>
      <w:r w:rsidR="00382FBA">
        <w:t xml:space="preserve">ajor </w:t>
      </w:r>
      <w:r w:rsidR="00A10740">
        <w:t>m</w:t>
      </w:r>
      <w:r w:rsidR="00382FBA">
        <w:t>ilestones</w:t>
      </w:r>
      <w:bookmarkEnd w:id="1568"/>
    </w:p>
    <w:p w14:paraId="5D9A21FB" w14:textId="61D2F614" w:rsidR="00A430CB" w:rsidRDefault="00421A46">
      <w:r w:rsidRPr="0039187A">
        <w:rPr>
          <w:noProof/>
          <w:lang w:eastAsia="en-AU"/>
        </w:rPr>
        <mc:AlternateContent>
          <mc:Choice Requires="wps">
            <w:drawing>
              <wp:anchor distT="0" distB="0" distL="114300" distR="114300" simplePos="0" relativeHeight="251674624" behindDoc="0" locked="0" layoutInCell="1" allowOverlap="1" wp14:anchorId="57E890C9" wp14:editId="517BEAFF">
                <wp:simplePos x="0" y="0"/>
                <wp:positionH relativeFrom="column">
                  <wp:posOffset>2352675</wp:posOffset>
                </wp:positionH>
                <wp:positionV relativeFrom="paragraph">
                  <wp:posOffset>219710</wp:posOffset>
                </wp:positionV>
                <wp:extent cx="3960000" cy="561975"/>
                <wp:effectExtent l="19050" t="0" r="21590" b="28575"/>
                <wp:wrapNone/>
                <wp:docPr id="29" name="Callout: Left Arrow 28">
                  <a:extLst xmlns:a="http://schemas.openxmlformats.org/drawingml/2006/main">
                    <a:ext uri="{FF2B5EF4-FFF2-40B4-BE49-F238E27FC236}">
                      <a16:creationId xmlns:a16="http://schemas.microsoft.com/office/drawing/2014/main" id="{94F2B7EE-2C45-4CF6-A127-8AE522EFB8C3}"/>
                    </a:ext>
                  </a:extLst>
                </wp:docPr>
                <wp:cNvGraphicFramePr/>
                <a:graphic xmlns:a="http://schemas.openxmlformats.org/drawingml/2006/main">
                  <a:graphicData uri="http://schemas.microsoft.com/office/word/2010/wordprocessingShape">
                    <wps:wsp>
                      <wps:cNvSpPr/>
                      <wps:spPr>
                        <a:xfrm>
                          <a:off x="0" y="0"/>
                          <a:ext cx="3960000" cy="561975"/>
                        </a:xfrm>
                        <a:prstGeom prst="leftArrowCallout">
                          <a:avLst>
                            <a:gd name="adj1" fmla="val 25000"/>
                            <a:gd name="adj2" fmla="val 25000"/>
                            <a:gd name="adj3" fmla="val 25000"/>
                            <a:gd name="adj4" fmla="val 93242"/>
                          </a:avLst>
                        </a:prstGeom>
                        <a:noFill/>
                        <a:ln w="63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AB3B56" w14:textId="7E8C70D8" w:rsidR="00B54F1A" w:rsidRPr="00685087" w:rsidRDefault="00B54F1A" w:rsidP="001B3A3C">
                            <w:pPr>
                              <w:jc w:val="center"/>
                              <w:rPr>
                                <w:rFonts w:asciiTheme="minorHAnsi"/>
                                <w:color w:val="000000" w:themeColor="text1"/>
                                <w:kern w:val="24"/>
                                <w:sz w:val="24"/>
                                <w:szCs w:val="24"/>
                              </w:rPr>
                            </w:pPr>
                            <w:r>
                              <w:rPr>
                                <w:rFonts w:asciiTheme="minorHAnsi"/>
                                <w:color w:val="000000" w:themeColor="text1"/>
                                <w:kern w:val="24"/>
                                <w:sz w:val="20"/>
                                <w:szCs w:val="20"/>
                              </w:rPr>
                              <w:t xml:space="preserve">Toppling furniture and televisions issues </w:t>
                            </w:r>
                            <w:r w:rsidRPr="005E5569">
                              <w:rPr>
                                <w:rFonts w:asciiTheme="minorHAnsi"/>
                                <w:color w:val="000000" w:themeColor="text1"/>
                                <w:kern w:val="24"/>
                                <w:sz w:val="20"/>
                                <w:szCs w:val="20"/>
                              </w:rPr>
                              <w:t>paper published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7E890C9"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Callout: Left Arrow 28" o:spid="_x0000_s1039" type="#_x0000_t77" style="position:absolute;margin-left:185.25pt;margin-top:17.3pt;width:311.8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" adj="1460,,766" filled="f" strokecolor="#7030a0" strokeweight=".5pt">
                <v:textbox>
                  <w:txbxContent>
                    <w:p w14:paraId="27AB3B56" w14:textId="7E8C70D8" w:rsidR="00B54F1A" w:rsidRPr="00685087" w:rsidRDefault="00B54F1A" w:rsidP="001B3A3C">
                      <w:pPr>
                        <w:jc w:val="center"/>
                        <w:rPr>
                          <w:rFonts w:asciiTheme="minorHAnsi"/>
                          <w:color w:val="000000" w:themeColor="text1"/>
                          <w:kern w:val="24"/>
                          <w:sz w:val="24"/>
                          <w:szCs w:val="24"/>
                        </w:rPr>
                      </w:pPr>
                      <w:r>
                        <w:rPr>
                          <w:rFonts w:asciiTheme="minorHAnsi"/>
                          <w:color w:val="000000" w:themeColor="text1"/>
                          <w:kern w:val="24"/>
                          <w:sz w:val="20"/>
                          <w:szCs w:val="20"/>
                        </w:rPr>
                        <w:t xml:space="preserve">Toppling furniture and televisions issues </w:t>
                      </w:r>
                      <w:r w:rsidRPr="005E5569">
                        <w:rPr>
                          <w:rFonts w:asciiTheme="minorHAnsi"/>
                          <w:color w:val="000000" w:themeColor="text1"/>
                          <w:kern w:val="24"/>
                          <w:sz w:val="20"/>
                          <w:szCs w:val="20"/>
                        </w:rPr>
                        <w:t>paper published</w:t>
                      </w:r>
                    </w:p>
                  </w:txbxContent>
                </v:textbox>
              </v:shape>
            </w:pict>
          </mc:Fallback>
        </mc:AlternateContent>
      </w:r>
    </w:p>
    <w:p w14:paraId="64537A7C" w14:textId="4DA8DA7E" w:rsidR="00A430CB" w:rsidRDefault="00A430CB"/>
    <w:p w14:paraId="4C319582" w14:textId="5A1353AB" w:rsidR="00A430CB" w:rsidRDefault="00421A46">
      <w:r w:rsidRPr="0039187A">
        <w:rPr>
          <w:noProof/>
          <w:lang w:eastAsia="en-AU"/>
        </w:rPr>
        <mc:AlternateContent>
          <mc:Choice Requires="wps">
            <w:drawing>
              <wp:anchor distT="0" distB="0" distL="114300" distR="114300" simplePos="0" relativeHeight="251676672" behindDoc="0" locked="0" layoutInCell="1" allowOverlap="1" wp14:anchorId="577E32AE" wp14:editId="416B145F">
                <wp:simplePos x="0" y="0"/>
                <wp:positionH relativeFrom="column">
                  <wp:posOffset>2342515</wp:posOffset>
                </wp:positionH>
                <wp:positionV relativeFrom="paragraph">
                  <wp:posOffset>301625</wp:posOffset>
                </wp:positionV>
                <wp:extent cx="3960000" cy="561975"/>
                <wp:effectExtent l="19050" t="0" r="21590" b="28575"/>
                <wp:wrapNone/>
                <wp:docPr id="47" name="Callout: Left Arrow 28"/>
                <wp:cNvGraphicFramePr/>
                <a:graphic xmlns:a="http://schemas.openxmlformats.org/drawingml/2006/main">
                  <a:graphicData uri="http://schemas.microsoft.com/office/word/2010/wordprocessingShape">
                    <wps:wsp>
                      <wps:cNvSpPr/>
                      <wps:spPr>
                        <a:xfrm>
                          <a:off x="0" y="0"/>
                          <a:ext cx="3960000" cy="561975"/>
                        </a:xfrm>
                        <a:prstGeom prst="leftArrowCallout">
                          <a:avLst>
                            <a:gd name="adj1" fmla="val 25000"/>
                            <a:gd name="adj2" fmla="val 25000"/>
                            <a:gd name="adj3" fmla="val 25000"/>
                            <a:gd name="adj4" fmla="val 93242"/>
                          </a:avLst>
                        </a:prstGeom>
                        <a:noFill/>
                        <a:ln w="63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E76259" w14:textId="52BA28BB" w:rsidR="00B54F1A" w:rsidRPr="00D6750B" w:rsidRDefault="00AB4FED" w:rsidP="00D6750B">
                            <w:pPr>
                              <w:jc w:val="center"/>
                              <w:rPr>
                                <w:rFonts w:asciiTheme="minorHAnsi"/>
                                <w:color w:val="000000" w:themeColor="text1"/>
                                <w:kern w:val="24"/>
                                <w:sz w:val="20"/>
                                <w:szCs w:val="20"/>
                              </w:rPr>
                            </w:pPr>
                            <w:r>
                              <w:rPr>
                                <w:rFonts w:asciiTheme="minorHAnsi"/>
                                <w:color w:val="000000" w:themeColor="text1"/>
                                <w:kern w:val="24"/>
                                <w:sz w:val="20"/>
                                <w:szCs w:val="20"/>
                              </w:rPr>
                              <w:t xml:space="preserve">ACCC </w:t>
                            </w:r>
                            <w:r w:rsidR="00B54F1A">
                              <w:rPr>
                                <w:rFonts w:asciiTheme="minorHAnsi"/>
                                <w:color w:val="000000" w:themeColor="text1"/>
                                <w:kern w:val="24"/>
                                <w:sz w:val="20"/>
                                <w:szCs w:val="20"/>
                              </w:rPr>
                              <w:t>Compliance and Product Safety Committee (CPSC)</w:t>
                            </w:r>
                            <w:r w:rsidR="00B54F1A" w:rsidRPr="00D6750B">
                              <w:rPr>
                                <w:rFonts w:asciiTheme="minorHAnsi"/>
                                <w:color w:val="000000" w:themeColor="text1"/>
                                <w:kern w:val="24"/>
                                <w:sz w:val="20"/>
                                <w:szCs w:val="20"/>
                              </w:rPr>
                              <w:t xml:space="preserve"> </w:t>
                            </w:r>
                            <w:r w:rsidR="00B54F1A">
                              <w:rPr>
                                <w:rFonts w:asciiTheme="minorHAnsi"/>
                                <w:color w:val="000000" w:themeColor="text1"/>
                                <w:kern w:val="24"/>
                                <w:sz w:val="20"/>
                                <w:szCs w:val="20"/>
                              </w:rPr>
                              <w:t>d</w:t>
                            </w:r>
                            <w:r w:rsidR="00B54F1A" w:rsidRPr="00D6750B">
                              <w:rPr>
                                <w:rFonts w:asciiTheme="minorHAnsi"/>
                                <w:color w:val="000000" w:themeColor="text1"/>
                                <w:kern w:val="24"/>
                                <w:sz w:val="20"/>
                                <w:szCs w:val="20"/>
                              </w:rPr>
                              <w:t xml:space="preserve">irection to commence RIS process </w:t>
                            </w:r>
                          </w:p>
                          <w:p w14:paraId="35E605A2" w14:textId="3A017073" w:rsidR="00B54F1A" w:rsidRPr="005E5569" w:rsidRDefault="00B54F1A" w:rsidP="00D6750B">
                            <w:pPr>
                              <w:jc w:val="center"/>
                              <w:rPr>
                                <w:rFonts w:asciiTheme="minorHAnsi"/>
                                <w:color w:val="000000" w:themeColor="text1"/>
                                <w:kern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77E32AE" id="_x0000_s1040" type="#_x0000_t77" style="position:absolute;margin-left:184.45pt;margin-top:23.75pt;width:311.8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" adj="1460,,766" filled="f" strokecolor="#7030a0" strokeweight=".5pt">
                <v:textbox>
                  <w:txbxContent>
                    <w:p w14:paraId="58E76259" w14:textId="52BA28BB" w:rsidR="00B54F1A" w:rsidRPr="00D6750B" w:rsidRDefault="00AB4FED" w:rsidP="00D6750B">
                      <w:pPr>
                        <w:jc w:val="center"/>
                        <w:rPr>
                          <w:rFonts w:asciiTheme="minorHAnsi"/>
                          <w:color w:val="000000" w:themeColor="text1"/>
                          <w:kern w:val="24"/>
                          <w:sz w:val="20"/>
                          <w:szCs w:val="20"/>
                        </w:rPr>
                      </w:pPr>
                      <w:r>
                        <w:rPr>
                          <w:rFonts w:asciiTheme="minorHAnsi"/>
                          <w:color w:val="000000" w:themeColor="text1"/>
                          <w:kern w:val="24"/>
                          <w:sz w:val="20"/>
                          <w:szCs w:val="20"/>
                        </w:rPr>
                        <w:t xml:space="preserve">ACCC </w:t>
                      </w:r>
                      <w:r w:rsidR="00B54F1A">
                        <w:rPr>
                          <w:rFonts w:asciiTheme="minorHAnsi"/>
                          <w:color w:val="000000" w:themeColor="text1"/>
                          <w:kern w:val="24"/>
                          <w:sz w:val="20"/>
                          <w:szCs w:val="20"/>
                        </w:rPr>
                        <w:t>Compliance and Product Safety Committee (CPSC)</w:t>
                      </w:r>
                      <w:r w:rsidR="00B54F1A" w:rsidRPr="00D6750B">
                        <w:rPr>
                          <w:rFonts w:asciiTheme="minorHAnsi"/>
                          <w:color w:val="000000" w:themeColor="text1"/>
                          <w:kern w:val="24"/>
                          <w:sz w:val="20"/>
                          <w:szCs w:val="20"/>
                        </w:rPr>
                        <w:t xml:space="preserve"> </w:t>
                      </w:r>
                      <w:r w:rsidR="00B54F1A">
                        <w:rPr>
                          <w:rFonts w:asciiTheme="minorHAnsi"/>
                          <w:color w:val="000000" w:themeColor="text1"/>
                          <w:kern w:val="24"/>
                          <w:sz w:val="20"/>
                          <w:szCs w:val="20"/>
                        </w:rPr>
                        <w:t>d</w:t>
                      </w:r>
                      <w:r w:rsidR="00B54F1A" w:rsidRPr="00D6750B">
                        <w:rPr>
                          <w:rFonts w:asciiTheme="minorHAnsi"/>
                          <w:color w:val="000000" w:themeColor="text1"/>
                          <w:kern w:val="24"/>
                          <w:sz w:val="20"/>
                          <w:szCs w:val="20"/>
                        </w:rPr>
                        <w:t xml:space="preserve">irection to commence RIS process </w:t>
                      </w:r>
                    </w:p>
                    <w:p w14:paraId="35E605A2" w14:textId="3A017073" w:rsidR="00B54F1A" w:rsidRPr="005E5569" w:rsidRDefault="00B54F1A" w:rsidP="00D6750B">
                      <w:pPr>
                        <w:jc w:val="center"/>
                        <w:rPr>
                          <w:rFonts w:asciiTheme="minorHAnsi"/>
                          <w:color w:val="000000" w:themeColor="text1"/>
                          <w:kern w:val="24"/>
                        </w:rPr>
                      </w:pPr>
                    </w:p>
                  </w:txbxContent>
                </v:textbox>
              </v:shape>
            </w:pict>
          </mc:Fallback>
        </mc:AlternateContent>
      </w:r>
    </w:p>
    <w:p w14:paraId="60951BE6" w14:textId="50EAC84F" w:rsidR="0063203E" w:rsidRDefault="0063203E"/>
    <w:p w14:paraId="1059541C" w14:textId="3515DB4B" w:rsidR="0063203E" w:rsidRDefault="0063203E"/>
    <w:p w14:paraId="7FF4506B" w14:textId="228AAF14" w:rsidR="0063203E" w:rsidRDefault="00421A46">
      <w:r w:rsidRPr="0039187A">
        <w:rPr>
          <w:noProof/>
          <w:lang w:eastAsia="en-AU"/>
        </w:rPr>
        <mc:AlternateContent>
          <mc:Choice Requires="wps">
            <w:drawing>
              <wp:anchor distT="0" distB="0" distL="114300" distR="114300" simplePos="0" relativeHeight="251678720" behindDoc="0" locked="0" layoutInCell="1" allowOverlap="1" wp14:anchorId="1DF60D5C" wp14:editId="53984049">
                <wp:simplePos x="0" y="0"/>
                <wp:positionH relativeFrom="column">
                  <wp:posOffset>2359660</wp:posOffset>
                </wp:positionH>
                <wp:positionV relativeFrom="paragraph">
                  <wp:posOffset>86360</wp:posOffset>
                </wp:positionV>
                <wp:extent cx="3960000" cy="561975"/>
                <wp:effectExtent l="19050" t="0" r="21590" b="28575"/>
                <wp:wrapNone/>
                <wp:docPr id="48" name="Callout: Left Arrow 28"/>
                <wp:cNvGraphicFramePr/>
                <a:graphic xmlns:a="http://schemas.openxmlformats.org/drawingml/2006/main">
                  <a:graphicData uri="http://schemas.microsoft.com/office/word/2010/wordprocessingShape">
                    <wps:wsp>
                      <wps:cNvSpPr/>
                      <wps:spPr>
                        <a:xfrm>
                          <a:off x="0" y="0"/>
                          <a:ext cx="3960000" cy="561975"/>
                        </a:xfrm>
                        <a:prstGeom prst="leftArrowCallout">
                          <a:avLst>
                            <a:gd name="adj1" fmla="val 25000"/>
                            <a:gd name="adj2" fmla="val 25000"/>
                            <a:gd name="adj3" fmla="val 25000"/>
                            <a:gd name="adj4" fmla="val 93242"/>
                          </a:avLst>
                        </a:prstGeom>
                        <a:noFill/>
                        <a:ln w="63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2B841E" w14:textId="36F036B0" w:rsidR="00B54F1A" w:rsidRPr="00D6750B" w:rsidRDefault="00B54F1A" w:rsidP="00D6750B">
                            <w:pPr>
                              <w:jc w:val="center"/>
                              <w:rPr>
                                <w:rFonts w:asciiTheme="minorHAnsi"/>
                                <w:color w:val="000000" w:themeColor="text1"/>
                                <w:kern w:val="24"/>
                                <w:sz w:val="20"/>
                                <w:szCs w:val="20"/>
                              </w:rPr>
                            </w:pPr>
                            <w:r>
                              <w:rPr>
                                <w:rFonts w:asciiTheme="minorHAnsi"/>
                                <w:color w:val="000000" w:themeColor="text1"/>
                                <w:kern w:val="24"/>
                                <w:sz w:val="20"/>
                                <w:szCs w:val="20"/>
                              </w:rPr>
                              <w:t>Draft Consultation RIS endorsed by CPSC</w:t>
                            </w:r>
                          </w:p>
                          <w:p w14:paraId="1F7838CF" w14:textId="1471AD8F" w:rsidR="00B54F1A" w:rsidRPr="005E5569" w:rsidRDefault="00B54F1A" w:rsidP="00D6750B">
                            <w:pPr>
                              <w:jc w:val="center"/>
                              <w:rPr>
                                <w:rFonts w:asciiTheme="minorHAnsi"/>
                                <w:color w:val="000000" w:themeColor="text1"/>
                                <w:kern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DF60D5C" id="_x0000_s1041" type="#_x0000_t77" style="position:absolute;margin-left:185.8pt;margin-top:6.8pt;width:311.8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" adj="1460,,766" filled="f" strokecolor="#7030a0" strokeweight=".5pt">
                <v:textbox>
                  <w:txbxContent>
                    <w:p w14:paraId="0B2B841E" w14:textId="36F036B0" w:rsidR="00B54F1A" w:rsidRPr="00D6750B" w:rsidRDefault="00B54F1A" w:rsidP="00D6750B">
                      <w:pPr>
                        <w:jc w:val="center"/>
                        <w:rPr>
                          <w:rFonts w:asciiTheme="minorHAnsi"/>
                          <w:color w:val="000000" w:themeColor="text1"/>
                          <w:kern w:val="24"/>
                          <w:sz w:val="20"/>
                          <w:szCs w:val="20"/>
                        </w:rPr>
                      </w:pPr>
                      <w:r>
                        <w:rPr>
                          <w:rFonts w:asciiTheme="minorHAnsi"/>
                          <w:color w:val="000000" w:themeColor="text1"/>
                          <w:kern w:val="24"/>
                          <w:sz w:val="20"/>
                          <w:szCs w:val="20"/>
                        </w:rPr>
                        <w:t>Draft Consultation RIS endorsed by CPSC</w:t>
                      </w:r>
                    </w:p>
                    <w:p w14:paraId="1F7838CF" w14:textId="1471AD8F" w:rsidR="00B54F1A" w:rsidRPr="005E5569" w:rsidRDefault="00B54F1A" w:rsidP="00D6750B">
                      <w:pPr>
                        <w:jc w:val="center"/>
                        <w:rPr>
                          <w:rFonts w:asciiTheme="minorHAnsi"/>
                          <w:color w:val="000000" w:themeColor="text1"/>
                          <w:kern w:val="24"/>
                        </w:rPr>
                      </w:pPr>
                    </w:p>
                  </w:txbxContent>
                </v:textbox>
              </v:shape>
            </w:pict>
          </mc:Fallback>
        </mc:AlternateContent>
      </w:r>
    </w:p>
    <w:p w14:paraId="055D879F" w14:textId="52E9F832" w:rsidR="00A430CB" w:rsidRDefault="00A430CB"/>
    <w:p w14:paraId="5CD89E5A" w14:textId="68AF0E95" w:rsidR="00A430CB" w:rsidRDefault="00D6750B">
      <w:r w:rsidRPr="0039187A">
        <w:rPr>
          <w:noProof/>
          <w:lang w:eastAsia="en-AU"/>
        </w:rPr>
        <mc:AlternateContent>
          <mc:Choice Requires="wps">
            <w:drawing>
              <wp:anchor distT="0" distB="0" distL="114300" distR="114300" simplePos="0" relativeHeight="251680768" behindDoc="0" locked="0" layoutInCell="1" allowOverlap="1" wp14:anchorId="2B43843F" wp14:editId="62D5633D">
                <wp:simplePos x="0" y="0"/>
                <wp:positionH relativeFrom="column">
                  <wp:posOffset>2361565</wp:posOffset>
                </wp:positionH>
                <wp:positionV relativeFrom="paragraph">
                  <wp:posOffset>236220</wp:posOffset>
                </wp:positionV>
                <wp:extent cx="3960000" cy="561975"/>
                <wp:effectExtent l="19050" t="0" r="21590" b="28575"/>
                <wp:wrapNone/>
                <wp:docPr id="49" name="Callout: Left Arrow 28"/>
                <wp:cNvGraphicFramePr/>
                <a:graphic xmlns:a="http://schemas.openxmlformats.org/drawingml/2006/main">
                  <a:graphicData uri="http://schemas.microsoft.com/office/word/2010/wordprocessingShape">
                    <wps:wsp>
                      <wps:cNvSpPr/>
                      <wps:spPr>
                        <a:xfrm>
                          <a:off x="0" y="0"/>
                          <a:ext cx="3960000" cy="561975"/>
                        </a:xfrm>
                        <a:prstGeom prst="leftArrowCallout">
                          <a:avLst>
                            <a:gd name="adj1" fmla="val 25000"/>
                            <a:gd name="adj2" fmla="val 25000"/>
                            <a:gd name="adj3" fmla="val 25000"/>
                            <a:gd name="adj4" fmla="val 93242"/>
                          </a:avLst>
                        </a:prstGeom>
                        <a:noFill/>
                        <a:ln w="63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26D55A" w14:textId="580AD63B" w:rsidR="00B54F1A" w:rsidRPr="00D6750B" w:rsidRDefault="00B54F1A" w:rsidP="00D6750B">
                            <w:pPr>
                              <w:jc w:val="center"/>
                              <w:rPr>
                                <w:rFonts w:asciiTheme="minorHAnsi"/>
                                <w:color w:val="000000" w:themeColor="text1"/>
                                <w:kern w:val="24"/>
                                <w:sz w:val="20"/>
                                <w:szCs w:val="20"/>
                              </w:rPr>
                            </w:pPr>
                            <w:r>
                              <w:rPr>
                                <w:rFonts w:asciiTheme="minorHAnsi"/>
                                <w:color w:val="000000" w:themeColor="text1"/>
                                <w:kern w:val="24"/>
                                <w:sz w:val="20"/>
                                <w:szCs w:val="20"/>
                              </w:rPr>
                              <w:t>Draft Consultation RIS provided to OIA</w:t>
                            </w:r>
                          </w:p>
                          <w:p w14:paraId="4DD3C180" w14:textId="17261975" w:rsidR="00B54F1A" w:rsidRPr="005E5569" w:rsidRDefault="00B54F1A" w:rsidP="00D6750B">
                            <w:pPr>
                              <w:jc w:val="center"/>
                              <w:rPr>
                                <w:rFonts w:asciiTheme="minorHAnsi"/>
                                <w:color w:val="000000" w:themeColor="text1"/>
                                <w:kern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B43843F" id="_x0000_s1042" type="#_x0000_t77" style="position:absolute;margin-left:185.95pt;margin-top:18.6pt;width:311.8pt;height:4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" adj="1460,,766" filled="f" strokecolor="#7030a0" strokeweight=".5pt">
                <v:textbox>
                  <w:txbxContent>
                    <w:p w14:paraId="5526D55A" w14:textId="580AD63B" w:rsidR="00B54F1A" w:rsidRPr="00D6750B" w:rsidRDefault="00B54F1A" w:rsidP="00D6750B">
                      <w:pPr>
                        <w:jc w:val="center"/>
                        <w:rPr>
                          <w:rFonts w:asciiTheme="minorHAnsi"/>
                          <w:color w:val="000000" w:themeColor="text1"/>
                          <w:kern w:val="24"/>
                          <w:sz w:val="20"/>
                          <w:szCs w:val="20"/>
                        </w:rPr>
                      </w:pPr>
                      <w:r>
                        <w:rPr>
                          <w:rFonts w:asciiTheme="minorHAnsi"/>
                          <w:color w:val="000000" w:themeColor="text1"/>
                          <w:kern w:val="24"/>
                          <w:sz w:val="20"/>
                          <w:szCs w:val="20"/>
                        </w:rPr>
                        <w:t>Draft Consultation RIS provided to OIA</w:t>
                      </w:r>
                    </w:p>
                    <w:p w14:paraId="4DD3C180" w14:textId="17261975" w:rsidR="00B54F1A" w:rsidRPr="005E5569" w:rsidRDefault="00B54F1A" w:rsidP="00D6750B">
                      <w:pPr>
                        <w:jc w:val="center"/>
                        <w:rPr>
                          <w:rFonts w:asciiTheme="minorHAnsi"/>
                          <w:color w:val="000000" w:themeColor="text1"/>
                          <w:kern w:val="24"/>
                        </w:rPr>
                      </w:pPr>
                    </w:p>
                  </w:txbxContent>
                </v:textbox>
              </v:shape>
            </w:pict>
          </mc:Fallback>
        </mc:AlternateContent>
      </w:r>
    </w:p>
    <w:p w14:paraId="132A8EAF" w14:textId="45D2B71B" w:rsidR="00A430CB" w:rsidRDefault="00A430CB"/>
    <w:p w14:paraId="291ED5B5" w14:textId="244C5A78" w:rsidR="00A430CB" w:rsidRDefault="00A430CB"/>
    <w:p w14:paraId="5AD6BBC6" w14:textId="203780C4" w:rsidR="00A430CB" w:rsidRDefault="00421A46">
      <w:r w:rsidRPr="0039187A">
        <w:rPr>
          <w:noProof/>
          <w:lang w:eastAsia="en-AU"/>
        </w:rPr>
        <mc:AlternateContent>
          <mc:Choice Requires="wps">
            <w:drawing>
              <wp:anchor distT="0" distB="0" distL="114300" distR="114300" simplePos="0" relativeHeight="251682816" behindDoc="0" locked="0" layoutInCell="1" allowOverlap="1" wp14:anchorId="459E2FFB" wp14:editId="2218D7F8">
                <wp:simplePos x="0" y="0"/>
                <wp:positionH relativeFrom="column">
                  <wp:posOffset>2352040</wp:posOffset>
                </wp:positionH>
                <wp:positionV relativeFrom="paragraph">
                  <wp:posOffset>13335</wp:posOffset>
                </wp:positionV>
                <wp:extent cx="3960000" cy="561975"/>
                <wp:effectExtent l="19050" t="0" r="21590" b="28575"/>
                <wp:wrapNone/>
                <wp:docPr id="50" name="Callout: Left Arrow 28"/>
                <wp:cNvGraphicFramePr/>
                <a:graphic xmlns:a="http://schemas.openxmlformats.org/drawingml/2006/main">
                  <a:graphicData uri="http://schemas.microsoft.com/office/word/2010/wordprocessingShape">
                    <wps:wsp>
                      <wps:cNvSpPr/>
                      <wps:spPr>
                        <a:xfrm>
                          <a:off x="0" y="0"/>
                          <a:ext cx="3960000" cy="561975"/>
                        </a:xfrm>
                        <a:prstGeom prst="leftArrowCallout">
                          <a:avLst>
                            <a:gd name="adj1" fmla="val 25000"/>
                            <a:gd name="adj2" fmla="val 25000"/>
                            <a:gd name="adj3" fmla="val 25000"/>
                            <a:gd name="adj4" fmla="val 93242"/>
                          </a:avLst>
                        </a:prstGeom>
                        <a:noFill/>
                        <a:ln w="63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D6E354" w14:textId="15E07C7B" w:rsidR="00B54F1A" w:rsidRPr="00492832" w:rsidRDefault="00B54F1A" w:rsidP="00492832">
                            <w:pPr>
                              <w:jc w:val="center"/>
                              <w:rPr>
                                <w:rFonts w:asciiTheme="minorHAnsi"/>
                                <w:color w:val="000000" w:themeColor="text1"/>
                                <w:kern w:val="24"/>
                                <w:sz w:val="20"/>
                                <w:szCs w:val="20"/>
                              </w:rPr>
                            </w:pPr>
                            <w:r>
                              <w:rPr>
                                <w:rFonts w:asciiTheme="minorHAnsi"/>
                                <w:color w:val="000000" w:themeColor="text1"/>
                                <w:kern w:val="24"/>
                                <w:sz w:val="20"/>
                                <w:szCs w:val="20"/>
                              </w:rPr>
                              <w:t>Early assessment comments provided by OIA</w:t>
                            </w:r>
                          </w:p>
                          <w:p w14:paraId="0B802304" w14:textId="698A599B" w:rsidR="00B54F1A" w:rsidRPr="005E5569" w:rsidRDefault="00B54F1A" w:rsidP="00492832">
                            <w:pPr>
                              <w:jc w:val="center"/>
                              <w:rPr>
                                <w:rFonts w:asciiTheme="minorHAnsi"/>
                                <w:color w:val="000000" w:themeColor="text1"/>
                                <w:kern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59E2FFB" id="_x0000_s1043" type="#_x0000_t77" style="position:absolute;margin-left:185.2pt;margin-top:1.05pt;width:311.8pt;height:4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" adj="1460,,766" filled="f" strokecolor="#7030a0" strokeweight=".5pt">
                <v:textbox>
                  <w:txbxContent>
                    <w:p w14:paraId="47D6E354" w14:textId="15E07C7B" w:rsidR="00B54F1A" w:rsidRPr="00492832" w:rsidRDefault="00B54F1A" w:rsidP="00492832">
                      <w:pPr>
                        <w:jc w:val="center"/>
                        <w:rPr>
                          <w:rFonts w:asciiTheme="minorHAnsi"/>
                          <w:color w:val="000000" w:themeColor="text1"/>
                          <w:kern w:val="24"/>
                          <w:sz w:val="20"/>
                          <w:szCs w:val="20"/>
                        </w:rPr>
                      </w:pPr>
                      <w:r>
                        <w:rPr>
                          <w:rFonts w:asciiTheme="minorHAnsi"/>
                          <w:color w:val="000000" w:themeColor="text1"/>
                          <w:kern w:val="24"/>
                          <w:sz w:val="20"/>
                          <w:szCs w:val="20"/>
                        </w:rPr>
                        <w:t>Early assessment comments provided by OIA</w:t>
                      </w:r>
                    </w:p>
                    <w:p w14:paraId="0B802304" w14:textId="698A599B" w:rsidR="00B54F1A" w:rsidRPr="005E5569" w:rsidRDefault="00B54F1A" w:rsidP="00492832">
                      <w:pPr>
                        <w:jc w:val="center"/>
                        <w:rPr>
                          <w:rFonts w:asciiTheme="minorHAnsi"/>
                          <w:color w:val="000000" w:themeColor="text1"/>
                          <w:kern w:val="24"/>
                        </w:rPr>
                      </w:pPr>
                    </w:p>
                  </w:txbxContent>
                </v:textbox>
              </v:shape>
            </w:pict>
          </mc:Fallback>
        </mc:AlternateContent>
      </w:r>
    </w:p>
    <w:p w14:paraId="2C6C53ED" w14:textId="3C8FED86" w:rsidR="00A430CB" w:rsidRDefault="00A430CB"/>
    <w:p w14:paraId="6D1368D4" w14:textId="7897FC47" w:rsidR="00A430CB" w:rsidRDefault="00853A9F">
      <w:r w:rsidRPr="0039187A">
        <w:rPr>
          <w:noProof/>
          <w:lang w:eastAsia="en-AU"/>
        </w:rPr>
        <mc:AlternateContent>
          <mc:Choice Requires="wps">
            <w:drawing>
              <wp:anchor distT="0" distB="0" distL="114300" distR="114300" simplePos="0" relativeHeight="251684864" behindDoc="0" locked="0" layoutInCell="1" allowOverlap="1" wp14:anchorId="04D14CA6" wp14:editId="3E4F62A0">
                <wp:simplePos x="0" y="0"/>
                <wp:positionH relativeFrom="column">
                  <wp:posOffset>2349500</wp:posOffset>
                </wp:positionH>
                <wp:positionV relativeFrom="paragraph">
                  <wp:posOffset>95250</wp:posOffset>
                </wp:positionV>
                <wp:extent cx="3960000" cy="561975"/>
                <wp:effectExtent l="19050" t="0" r="21590" b="28575"/>
                <wp:wrapNone/>
                <wp:docPr id="51" name="Callout: Left Arrow 28"/>
                <wp:cNvGraphicFramePr/>
                <a:graphic xmlns:a="http://schemas.openxmlformats.org/drawingml/2006/main">
                  <a:graphicData uri="http://schemas.microsoft.com/office/word/2010/wordprocessingShape">
                    <wps:wsp>
                      <wps:cNvSpPr/>
                      <wps:spPr>
                        <a:xfrm>
                          <a:off x="0" y="0"/>
                          <a:ext cx="3960000" cy="561975"/>
                        </a:xfrm>
                        <a:prstGeom prst="leftArrowCallout">
                          <a:avLst>
                            <a:gd name="adj1" fmla="val 25000"/>
                            <a:gd name="adj2" fmla="val 25000"/>
                            <a:gd name="adj3" fmla="val 25000"/>
                            <a:gd name="adj4" fmla="val 93242"/>
                          </a:avLst>
                        </a:prstGeom>
                        <a:noFill/>
                        <a:ln w="63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4FD67E" w14:textId="0FF2ED0D" w:rsidR="00B54F1A" w:rsidRPr="00492832" w:rsidRDefault="00B54F1A" w:rsidP="00251265">
                            <w:pPr>
                              <w:jc w:val="center"/>
                              <w:rPr>
                                <w:rFonts w:asciiTheme="minorHAnsi"/>
                                <w:color w:val="000000" w:themeColor="text1"/>
                                <w:kern w:val="24"/>
                                <w:sz w:val="20"/>
                                <w:szCs w:val="20"/>
                              </w:rPr>
                            </w:pPr>
                            <w:r>
                              <w:rPr>
                                <w:rFonts w:asciiTheme="minorHAnsi"/>
                                <w:color w:val="000000" w:themeColor="text1"/>
                                <w:kern w:val="24"/>
                                <w:sz w:val="20"/>
                                <w:szCs w:val="20"/>
                              </w:rPr>
                              <w:t>Consultation RIS published and accepting submissions</w:t>
                            </w:r>
                          </w:p>
                          <w:p w14:paraId="64E48EAA" w14:textId="408522E6" w:rsidR="00B54F1A" w:rsidRPr="005E5569" w:rsidRDefault="00B54F1A" w:rsidP="00251265">
                            <w:pPr>
                              <w:jc w:val="center"/>
                              <w:rPr>
                                <w:rFonts w:asciiTheme="minorHAnsi"/>
                                <w:color w:val="000000" w:themeColor="text1"/>
                                <w:kern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4D14CA6" id="_x0000_s1044" type="#_x0000_t77" style="position:absolute;margin-left:185pt;margin-top:7.5pt;width:311.8pt;height:4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" adj="1460,,766" filled="f" strokecolor="#7030a0" strokeweight=".5pt">
                <v:textbox>
                  <w:txbxContent>
                    <w:p w14:paraId="6F4FD67E" w14:textId="0FF2ED0D" w:rsidR="00B54F1A" w:rsidRPr="00492832" w:rsidRDefault="00B54F1A" w:rsidP="00251265">
                      <w:pPr>
                        <w:jc w:val="center"/>
                        <w:rPr>
                          <w:rFonts w:asciiTheme="minorHAnsi"/>
                          <w:color w:val="000000" w:themeColor="text1"/>
                          <w:kern w:val="24"/>
                          <w:sz w:val="20"/>
                          <w:szCs w:val="20"/>
                        </w:rPr>
                      </w:pPr>
                      <w:r>
                        <w:rPr>
                          <w:rFonts w:asciiTheme="minorHAnsi"/>
                          <w:color w:val="000000" w:themeColor="text1"/>
                          <w:kern w:val="24"/>
                          <w:sz w:val="20"/>
                          <w:szCs w:val="20"/>
                        </w:rPr>
                        <w:t>Consultation RIS published and accepting submissions</w:t>
                      </w:r>
                    </w:p>
                    <w:p w14:paraId="64E48EAA" w14:textId="408522E6" w:rsidR="00B54F1A" w:rsidRPr="005E5569" w:rsidRDefault="00B54F1A" w:rsidP="00251265">
                      <w:pPr>
                        <w:jc w:val="center"/>
                        <w:rPr>
                          <w:rFonts w:asciiTheme="minorHAnsi"/>
                          <w:color w:val="000000" w:themeColor="text1"/>
                          <w:kern w:val="24"/>
                        </w:rPr>
                      </w:pPr>
                    </w:p>
                  </w:txbxContent>
                </v:textbox>
              </v:shape>
            </w:pict>
          </mc:Fallback>
        </mc:AlternateContent>
      </w:r>
    </w:p>
    <w:p w14:paraId="2CCCCF6C" w14:textId="057465BF" w:rsidR="00A430CB" w:rsidRDefault="00A430CB"/>
    <w:p w14:paraId="16B8D4E5" w14:textId="2873B5B0" w:rsidR="00A430CB" w:rsidRDefault="00853A9F">
      <w:r w:rsidRPr="0039187A">
        <w:rPr>
          <w:noProof/>
          <w:lang w:eastAsia="en-AU"/>
        </w:rPr>
        <mc:AlternateContent>
          <mc:Choice Requires="wps">
            <w:drawing>
              <wp:anchor distT="0" distB="0" distL="114300" distR="114300" simplePos="0" relativeHeight="251686912" behindDoc="0" locked="0" layoutInCell="1" allowOverlap="1" wp14:anchorId="3E0B1F5F" wp14:editId="74686106">
                <wp:simplePos x="0" y="0"/>
                <wp:positionH relativeFrom="column">
                  <wp:posOffset>2349500</wp:posOffset>
                </wp:positionH>
                <wp:positionV relativeFrom="paragraph">
                  <wp:posOffset>208280</wp:posOffset>
                </wp:positionV>
                <wp:extent cx="3960000" cy="561975"/>
                <wp:effectExtent l="19050" t="0" r="21590" b="28575"/>
                <wp:wrapNone/>
                <wp:docPr id="52" name="Callout: Left Arrow 28"/>
                <wp:cNvGraphicFramePr/>
                <a:graphic xmlns:a="http://schemas.openxmlformats.org/drawingml/2006/main">
                  <a:graphicData uri="http://schemas.microsoft.com/office/word/2010/wordprocessingShape">
                    <wps:wsp>
                      <wps:cNvSpPr/>
                      <wps:spPr>
                        <a:xfrm>
                          <a:off x="0" y="0"/>
                          <a:ext cx="3960000" cy="561975"/>
                        </a:xfrm>
                        <a:prstGeom prst="leftArrowCallout">
                          <a:avLst>
                            <a:gd name="adj1" fmla="val 25000"/>
                            <a:gd name="adj2" fmla="val 25000"/>
                            <a:gd name="adj3" fmla="val 25000"/>
                            <a:gd name="adj4" fmla="val 93242"/>
                          </a:avLst>
                        </a:prstGeom>
                        <a:noFill/>
                        <a:ln w="63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DFE77F" w14:textId="77777777" w:rsidR="00685087" w:rsidRPr="004E0337" w:rsidRDefault="00685087" w:rsidP="005E5569">
                            <w:pPr>
                              <w:jc w:val="center"/>
                              <w:rPr>
                                <w:rFonts w:asciiTheme="minorHAnsi"/>
                                <w:color w:val="000000" w:themeColor="text1"/>
                                <w:kern w:val="24"/>
                                <w:sz w:val="20"/>
                                <w:szCs w:val="20"/>
                              </w:rPr>
                            </w:pPr>
                            <w:r w:rsidRPr="004E0337">
                              <w:rPr>
                                <w:rFonts w:asciiTheme="minorHAnsi"/>
                                <w:color w:val="000000" w:themeColor="text1"/>
                                <w:kern w:val="24"/>
                                <w:sz w:val="20"/>
                                <w:szCs w:val="20"/>
                              </w:rPr>
                              <w:t>Decision RIS drafted to incorporate OIA feedback</w:t>
                            </w:r>
                            <w:r>
                              <w:rPr>
                                <w:rFonts w:asciiTheme="minorHAnsi"/>
                                <w:color w:val="000000" w:themeColor="text1"/>
                                <w:kern w:val="24"/>
                                <w:sz w:val="20"/>
                                <w:szCs w:val="20"/>
                              </w:rPr>
                              <w:t xml:space="preserve"> and</w:t>
                            </w:r>
                            <w:r w:rsidRPr="004E0337">
                              <w:rPr>
                                <w:rFonts w:asciiTheme="minorHAnsi"/>
                                <w:color w:val="000000" w:themeColor="text1"/>
                                <w:kern w:val="24"/>
                                <w:sz w:val="20"/>
                                <w:szCs w:val="20"/>
                              </w:rPr>
                              <w:t xml:space="preserve"> submissions</w:t>
                            </w:r>
                          </w:p>
                          <w:p w14:paraId="673B62E1" w14:textId="65E2000D" w:rsidR="00B54F1A" w:rsidRPr="005E5569" w:rsidRDefault="00B54F1A" w:rsidP="004E0337">
                            <w:pPr>
                              <w:jc w:val="center"/>
                              <w:rPr>
                                <w:rFonts w:asciiTheme="minorHAnsi"/>
                                <w:color w:val="000000" w:themeColor="text1"/>
                                <w:kern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E0B1F5F" id="_x0000_s1045" type="#_x0000_t77" style="position:absolute;margin-left:185pt;margin-top:16.4pt;width:311.8pt;height:4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" adj="1460,,766" filled="f" strokecolor="#7030a0" strokeweight=".5pt">
                <v:textbox>
                  <w:txbxContent>
                    <w:p w14:paraId="4EDFE77F" w14:textId="77777777" w:rsidR="00685087" w:rsidRPr="004E0337" w:rsidRDefault="00685087" w:rsidP="005E5569">
                      <w:pPr>
                        <w:jc w:val="center"/>
                        <w:rPr>
                          <w:rFonts w:asciiTheme="minorHAnsi"/>
                          <w:color w:val="000000" w:themeColor="text1"/>
                          <w:kern w:val="24"/>
                          <w:sz w:val="20"/>
                          <w:szCs w:val="20"/>
                        </w:rPr>
                      </w:pPr>
                      <w:r w:rsidRPr="004E0337">
                        <w:rPr>
                          <w:rFonts w:asciiTheme="minorHAnsi"/>
                          <w:color w:val="000000" w:themeColor="text1"/>
                          <w:kern w:val="24"/>
                          <w:sz w:val="20"/>
                          <w:szCs w:val="20"/>
                        </w:rPr>
                        <w:t>Decision RIS drafted to incorporate OIA feedback</w:t>
                      </w:r>
                      <w:r>
                        <w:rPr>
                          <w:rFonts w:asciiTheme="minorHAnsi"/>
                          <w:color w:val="000000" w:themeColor="text1"/>
                          <w:kern w:val="24"/>
                          <w:sz w:val="20"/>
                          <w:szCs w:val="20"/>
                        </w:rPr>
                        <w:t xml:space="preserve"> and</w:t>
                      </w:r>
                      <w:r w:rsidRPr="004E0337">
                        <w:rPr>
                          <w:rFonts w:asciiTheme="minorHAnsi"/>
                          <w:color w:val="000000" w:themeColor="text1"/>
                          <w:kern w:val="24"/>
                          <w:sz w:val="20"/>
                          <w:szCs w:val="20"/>
                        </w:rPr>
                        <w:t xml:space="preserve"> submissions</w:t>
                      </w:r>
                    </w:p>
                    <w:p w14:paraId="673B62E1" w14:textId="65E2000D" w:rsidR="00B54F1A" w:rsidRPr="005E5569" w:rsidRDefault="00B54F1A" w:rsidP="004E0337">
                      <w:pPr>
                        <w:jc w:val="center"/>
                        <w:rPr>
                          <w:rFonts w:asciiTheme="minorHAnsi"/>
                          <w:color w:val="000000" w:themeColor="text1"/>
                          <w:kern w:val="24"/>
                        </w:rPr>
                      </w:pPr>
                    </w:p>
                  </w:txbxContent>
                </v:textbox>
              </v:shape>
            </w:pict>
          </mc:Fallback>
        </mc:AlternateContent>
      </w:r>
    </w:p>
    <w:p w14:paraId="70DC529B" w14:textId="213279B4" w:rsidR="00A430CB" w:rsidRDefault="00A430CB"/>
    <w:p w14:paraId="4832EC61" w14:textId="53FD4C1A" w:rsidR="00A430CB" w:rsidRDefault="00A430CB"/>
    <w:p w14:paraId="5FE0BFF7" w14:textId="2DC0871F" w:rsidR="00A430CB" w:rsidRDefault="00685087">
      <w:r w:rsidRPr="0039187A">
        <w:rPr>
          <w:noProof/>
          <w:lang w:eastAsia="en-AU"/>
        </w:rPr>
        <mc:AlternateContent>
          <mc:Choice Requires="wps">
            <w:drawing>
              <wp:anchor distT="0" distB="0" distL="114300" distR="114300" simplePos="0" relativeHeight="251688960" behindDoc="0" locked="0" layoutInCell="1" allowOverlap="1" wp14:anchorId="214261E0" wp14:editId="39B1A7BC">
                <wp:simplePos x="0" y="0"/>
                <wp:positionH relativeFrom="column">
                  <wp:posOffset>2381250</wp:posOffset>
                </wp:positionH>
                <wp:positionV relativeFrom="paragraph">
                  <wp:posOffset>84455</wp:posOffset>
                </wp:positionV>
                <wp:extent cx="3960000" cy="561975"/>
                <wp:effectExtent l="19050" t="0" r="21590" b="28575"/>
                <wp:wrapThrough wrapText="bothSides">
                  <wp:wrapPolygon edited="0">
                    <wp:start x="1247" y="0"/>
                    <wp:lineTo x="-104" y="9519"/>
                    <wp:lineTo x="-104" y="12447"/>
                    <wp:lineTo x="1247" y="21966"/>
                    <wp:lineTo x="21614" y="21966"/>
                    <wp:lineTo x="21614" y="0"/>
                    <wp:lineTo x="1247" y="0"/>
                  </wp:wrapPolygon>
                </wp:wrapThrough>
                <wp:docPr id="54" name="Callout: Left Arrow 28"/>
                <wp:cNvGraphicFramePr/>
                <a:graphic xmlns:a="http://schemas.openxmlformats.org/drawingml/2006/main">
                  <a:graphicData uri="http://schemas.microsoft.com/office/word/2010/wordprocessingShape">
                    <wps:wsp>
                      <wps:cNvSpPr/>
                      <wps:spPr>
                        <a:xfrm>
                          <a:off x="0" y="0"/>
                          <a:ext cx="3960000" cy="561975"/>
                        </a:xfrm>
                        <a:prstGeom prst="leftArrowCallout">
                          <a:avLst>
                            <a:gd name="adj1" fmla="val 25000"/>
                            <a:gd name="adj2" fmla="val 25000"/>
                            <a:gd name="adj3" fmla="val 25000"/>
                            <a:gd name="adj4" fmla="val 93242"/>
                          </a:avLst>
                        </a:prstGeom>
                        <a:noFill/>
                        <a:ln w="63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E24899" w14:textId="583C25A6" w:rsidR="00B54F1A" w:rsidRPr="005E5569" w:rsidRDefault="00B54F1A" w:rsidP="004E0337">
                            <w:pPr>
                              <w:jc w:val="center"/>
                              <w:rPr>
                                <w:rFonts w:asciiTheme="minorHAnsi"/>
                                <w:color w:val="000000" w:themeColor="text1"/>
                                <w:kern w:val="24"/>
                              </w:rPr>
                            </w:pPr>
                            <w:r w:rsidRPr="006A3054">
                              <w:rPr>
                                <w:rFonts w:asciiTheme="minorHAnsi"/>
                                <w:color w:val="000000" w:themeColor="text1"/>
                                <w:kern w:val="24"/>
                                <w:sz w:val="20"/>
                                <w:szCs w:val="20"/>
                              </w:rPr>
                              <w:t xml:space="preserve">CPSC </w:t>
                            </w:r>
                            <w:r>
                              <w:rPr>
                                <w:rFonts w:asciiTheme="minorHAnsi"/>
                                <w:color w:val="000000" w:themeColor="text1"/>
                                <w:kern w:val="24"/>
                                <w:sz w:val="20"/>
                                <w:szCs w:val="20"/>
                              </w:rPr>
                              <w:t>endorses Decision RIS and final recommendation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14261E0" id="_x0000_s1046" type="#_x0000_t77" style="position:absolute;margin-left:187.5pt;margin-top:6.65pt;width:311.8pt;height:4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" adj="1460,,766" filled="f" strokecolor="#7030a0" strokeweight=".5pt">
                <v:textbox>
                  <w:txbxContent>
                    <w:p w14:paraId="4BE24899" w14:textId="583C25A6" w:rsidR="00B54F1A" w:rsidRPr="005E5569" w:rsidRDefault="00B54F1A" w:rsidP="004E0337">
                      <w:pPr>
                        <w:jc w:val="center"/>
                        <w:rPr>
                          <w:rFonts w:asciiTheme="minorHAnsi"/>
                          <w:color w:val="000000" w:themeColor="text1"/>
                          <w:kern w:val="24"/>
                        </w:rPr>
                      </w:pPr>
                      <w:r w:rsidRPr="006A3054">
                        <w:rPr>
                          <w:rFonts w:asciiTheme="minorHAnsi"/>
                          <w:color w:val="000000" w:themeColor="text1"/>
                          <w:kern w:val="24"/>
                          <w:sz w:val="20"/>
                          <w:szCs w:val="20"/>
                        </w:rPr>
                        <w:t xml:space="preserve">CPSC </w:t>
                      </w:r>
                      <w:r>
                        <w:rPr>
                          <w:rFonts w:asciiTheme="minorHAnsi"/>
                          <w:color w:val="000000" w:themeColor="text1"/>
                          <w:kern w:val="24"/>
                          <w:sz w:val="20"/>
                          <w:szCs w:val="20"/>
                        </w:rPr>
                        <w:t>endorses Decision RIS and final recommendation</w:t>
                      </w:r>
                    </w:p>
                  </w:txbxContent>
                </v:textbox>
                <w10:wrap type="through"/>
              </v:shape>
            </w:pict>
          </mc:Fallback>
        </mc:AlternateContent>
      </w:r>
    </w:p>
    <w:p w14:paraId="18675423" w14:textId="7F81B317" w:rsidR="00A430CB" w:rsidRDefault="00A430CB"/>
    <w:p w14:paraId="39A41C39" w14:textId="5035DAB5" w:rsidR="00A430CB" w:rsidRDefault="00685087">
      <w:r w:rsidRPr="0039187A">
        <w:rPr>
          <w:noProof/>
          <w:lang w:eastAsia="en-AU"/>
        </w:rPr>
        <mc:AlternateContent>
          <mc:Choice Requires="wps">
            <w:drawing>
              <wp:anchor distT="0" distB="0" distL="114300" distR="114300" simplePos="0" relativeHeight="251692032" behindDoc="0" locked="0" layoutInCell="1" allowOverlap="1" wp14:anchorId="5FC8C0FB" wp14:editId="16D64203">
                <wp:simplePos x="0" y="0"/>
                <wp:positionH relativeFrom="column">
                  <wp:posOffset>2333625</wp:posOffset>
                </wp:positionH>
                <wp:positionV relativeFrom="paragraph">
                  <wp:posOffset>226060</wp:posOffset>
                </wp:positionV>
                <wp:extent cx="3960000" cy="561975"/>
                <wp:effectExtent l="19050" t="0" r="21590" b="28575"/>
                <wp:wrapThrough wrapText="bothSides">
                  <wp:wrapPolygon edited="0">
                    <wp:start x="1247" y="0"/>
                    <wp:lineTo x="-104" y="9519"/>
                    <wp:lineTo x="-104" y="12447"/>
                    <wp:lineTo x="1247" y="21966"/>
                    <wp:lineTo x="21614" y="21966"/>
                    <wp:lineTo x="21614" y="0"/>
                    <wp:lineTo x="1247" y="0"/>
                  </wp:wrapPolygon>
                </wp:wrapThrough>
                <wp:docPr id="56" name="Callout: Left Arrow 28"/>
                <wp:cNvGraphicFramePr/>
                <a:graphic xmlns:a="http://schemas.openxmlformats.org/drawingml/2006/main">
                  <a:graphicData uri="http://schemas.microsoft.com/office/word/2010/wordprocessingShape">
                    <wps:wsp>
                      <wps:cNvSpPr/>
                      <wps:spPr>
                        <a:xfrm>
                          <a:off x="0" y="0"/>
                          <a:ext cx="3960000" cy="561975"/>
                        </a:xfrm>
                        <a:prstGeom prst="leftArrowCallout">
                          <a:avLst>
                            <a:gd name="adj1" fmla="val 25000"/>
                            <a:gd name="adj2" fmla="val 25000"/>
                            <a:gd name="adj3" fmla="val 25000"/>
                            <a:gd name="adj4" fmla="val 93242"/>
                          </a:avLst>
                        </a:prstGeom>
                        <a:noFill/>
                        <a:ln w="63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957C4B" w14:textId="422B5223" w:rsidR="00B54F1A" w:rsidRPr="005E5569" w:rsidRDefault="00B54F1A" w:rsidP="006A3054">
                            <w:pPr>
                              <w:jc w:val="center"/>
                              <w:rPr>
                                <w:rFonts w:asciiTheme="minorHAnsi"/>
                                <w:color w:val="000000" w:themeColor="text1"/>
                                <w:kern w:val="24"/>
                              </w:rPr>
                            </w:pPr>
                            <w:r>
                              <w:rPr>
                                <w:rFonts w:asciiTheme="minorHAnsi"/>
                                <w:color w:val="000000" w:themeColor="text1"/>
                                <w:kern w:val="24"/>
                                <w:sz w:val="20"/>
                                <w:szCs w:val="20"/>
                              </w:rPr>
                              <w:t xml:space="preserve">Decision RIS provided to OIA for the first pass review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FC8C0FB" id="_x0000_s1047" type="#_x0000_t77" style="position:absolute;margin-left:183.75pt;margin-top:17.8pt;width:311.8pt;height:4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" adj="1460,,766" filled="f" strokecolor="#7030a0" strokeweight=".5pt">
                <v:textbox>
                  <w:txbxContent>
                    <w:p w14:paraId="6D957C4B" w14:textId="422B5223" w:rsidR="00B54F1A" w:rsidRPr="005E5569" w:rsidRDefault="00B54F1A" w:rsidP="006A3054">
                      <w:pPr>
                        <w:jc w:val="center"/>
                        <w:rPr>
                          <w:rFonts w:asciiTheme="minorHAnsi"/>
                          <w:color w:val="000000" w:themeColor="text1"/>
                          <w:kern w:val="24"/>
                        </w:rPr>
                      </w:pPr>
                      <w:r>
                        <w:rPr>
                          <w:rFonts w:asciiTheme="minorHAnsi"/>
                          <w:color w:val="000000" w:themeColor="text1"/>
                          <w:kern w:val="24"/>
                          <w:sz w:val="20"/>
                          <w:szCs w:val="20"/>
                        </w:rPr>
                        <w:t xml:space="preserve">Decision RIS provided to OIA for the first pass review </w:t>
                      </w:r>
                    </w:p>
                  </w:txbxContent>
                </v:textbox>
                <w10:wrap type="through"/>
              </v:shape>
            </w:pict>
          </mc:Fallback>
        </mc:AlternateContent>
      </w:r>
    </w:p>
    <w:p w14:paraId="6B371432" w14:textId="05BA1EA2" w:rsidR="00A430CB" w:rsidRDefault="00A430CB"/>
    <w:p w14:paraId="3E3B1961" w14:textId="2E73B25F" w:rsidR="00A430CB" w:rsidRDefault="00A430CB"/>
    <w:p w14:paraId="28629685" w14:textId="278EAC1F" w:rsidR="00A430CB" w:rsidRDefault="006A3054">
      <w:r w:rsidRPr="0039187A">
        <w:rPr>
          <w:noProof/>
          <w:lang w:eastAsia="en-AU"/>
        </w:rPr>
        <mc:AlternateContent>
          <mc:Choice Requires="wps">
            <w:drawing>
              <wp:anchor distT="0" distB="0" distL="114300" distR="114300" simplePos="0" relativeHeight="251694080" behindDoc="0" locked="0" layoutInCell="1" allowOverlap="1" wp14:anchorId="4CF58BCB" wp14:editId="13AED31B">
                <wp:simplePos x="0" y="0"/>
                <wp:positionH relativeFrom="column">
                  <wp:posOffset>2352675</wp:posOffset>
                </wp:positionH>
                <wp:positionV relativeFrom="paragraph">
                  <wp:posOffset>85090</wp:posOffset>
                </wp:positionV>
                <wp:extent cx="3960000" cy="561975"/>
                <wp:effectExtent l="19050" t="0" r="21590" b="28575"/>
                <wp:wrapThrough wrapText="bothSides">
                  <wp:wrapPolygon edited="0">
                    <wp:start x="1247" y="0"/>
                    <wp:lineTo x="-104" y="9519"/>
                    <wp:lineTo x="-104" y="12447"/>
                    <wp:lineTo x="1247" y="21966"/>
                    <wp:lineTo x="21614" y="21966"/>
                    <wp:lineTo x="21614" y="0"/>
                    <wp:lineTo x="1247" y="0"/>
                  </wp:wrapPolygon>
                </wp:wrapThrough>
                <wp:docPr id="57" name="Callout: Left Arrow 28"/>
                <wp:cNvGraphicFramePr/>
                <a:graphic xmlns:a="http://schemas.openxmlformats.org/drawingml/2006/main">
                  <a:graphicData uri="http://schemas.microsoft.com/office/word/2010/wordprocessingShape">
                    <wps:wsp>
                      <wps:cNvSpPr/>
                      <wps:spPr>
                        <a:xfrm>
                          <a:off x="0" y="0"/>
                          <a:ext cx="3960000" cy="561975"/>
                        </a:xfrm>
                        <a:prstGeom prst="leftArrowCallout">
                          <a:avLst>
                            <a:gd name="adj1" fmla="val 25000"/>
                            <a:gd name="adj2" fmla="val 25000"/>
                            <a:gd name="adj3" fmla="val 25000"/>
                            <a:gd name="adj4" fmla="val 93242"/>
                          </a:avLst>
                        </a:prstGeom>
                        <a:noFill/>
                        <a:ln w="63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66D7EF" w14:textId="0571CB7B" w:rsidR="00B54F1A" w:rsidRPr="005E5569" w:rsidRDefault="00B54F1A" w:rsidP="006A3054">
                            <w:pPr>
                              <w:jc w:val="center"/>
                              <w:rPr>
                                <w:rFonts w:asciiTheme="minorHAnsi"/>
                                <w:color w:val="000000" w:themeColor="text1"/>
                                <w:kern w:val="24"/>
                              </w:rPr>
                            </w:pPr>
                            <w:r>
                              <w:rPr>
                                <w:rFonts w:asciiTheme="minorHAnsi"/>
                                <w:color w:val="000000" w:themeColor="text1"/>
                                <w:kern w:val="24"/>
                                <w:sz w:val="20"/>
                                <w:szCs w:val="20"/>
                              </w:rPr>
                              <w:t>OIA provides review feedback</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CF58BCB" id="_x0000_s1048" type="#_x0000_t77" style="position:absolute;margin-left:185.25pt;margin-top:6.7pt;width:311.8pt;height:4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" adj="1460,,766" filled="f" strokecolor="#7030a0" strokeweight=".5pt">
                <v:textbox>
                  <w:txbxContent>
                    <w:p w14:paraId="5066D7EF" w14:textId="0571CB7B" w:rsidR="00B54F1A" w:rsidRPr="005E5569" w:rsidRDefault="00B54F1A" w:rsidP="006A3054">
                      <w:pPr>
                        <w:jc w:val="center"/>
                        <w:rPr>
                          <w:rFonts w:asciiTheme="minorHAnsi"/>
                          <w:color w:val="000000" w:themeColor="text1"/>
                          <w:kern w:val="24"/>
                        </w:rPr>
                      </w:pPr>
                      <w:r>
                        <w:rPr>
                          <w:rFonts w:asciiTheme="minorHAnsi"/>
                          <w:color w:val="000000" w:themeColor="text1"/>
                          <w:kern w:val="24"/>
                          <w:sz w:val="20"/>
                          <w:szCs w:val="20"/>
                        </w:rPr>
                        <w:t>OIA provides review feedback</w:t>
                      </w:r>
                    </w:p>
                  </w:txbxContent>
                </v:textbox>
                <w10:wrap type="through"/>
              </v:shape>
            </w:pict>
          </mc:Fallback>
        </mc:AlternateContent>
      </w:r>
    </w:p>
    <w:p w14:paraId="37128F13" w14:textId="010F4419" w:rsidR="00853A9F" w:rsidRDefault="00853A9F"/>
    <w:p w14:paraId="6C1FCA9B" w14:textId="7F8AF477" w:rsidR="00853A9F" w:rsidRDefault="00853A9F"/>
    <w:p w14:paraId="7A845E0E" w14:textId="0768C5B1" w:rsidR="0063203E" w:rsidRDefault="0063203E">
      <w:pPr>
        <w:rPr>
          <w:rFonts w:ascii="Palatino Linotype" w:eastAsiaTheme="majorEastAsia" w:hAnsi="Palatino Linotype" w:cstheme="majorBidi"/>
          <w:bCs/>
          <w:color w:val="410099" w:themeColor="accent1"/>
          <w:sz w:val="36"/>
          <w:szCs w:val="28"/>
        </w:rPr>
      </w:pPr>
      <w:r>
        <w:br w:type="page"/>
      </w:r>
    </w:p>
    <w:p w14:paraId="286DC8FA" w14:textId="3297898B" w:rsidR="004E534C" w:rsidRPr="005D4886" w:rsidRDefault="004E534C" w:rsidP="000A31A3">
      <w:pPr>
        <w:pStyle w:val="Numbered1"/>
        <w:numPr>
          <w:ilvl w:val="0"/>
          <w:numId w:val="0"/>
        </w:numPr>
      </w:pPr>
      <w:bookmarkStart w:id="1570" w:name="_Toc126074164"/>
      <w:r w:rsidRPr="005D4886">
        <w:t xml:space="preserve">Attachment </w:t>
      </w:r>
      <w:r w:rsidR="0018528C">
        <w:t>A</w:t>
      </w:r>
      <w:r w:rsidRPr="005D4886">
        <w:t xml:space="preserve">: </w:t>
      </w:r>
      <w:r w:rsidR="00631BC6" w:rsidRPr="005D4886">
        <w:t xml:space="preserve">2021 Issues Paper </w:t>
      </w:r>
      <w:r w:rsidR="003A639D">
        <w:t>and Consultation RIS s</w:t>
      </w:r>
      <w:r w:rsidR="005142F5" w:rsidRPr="005D4886">
        <w:t>takeholder</w:t>
      </w:r>
      <w:r w:rsidR="00631BC6" w:rsidRPr="005D4886">
        <w:t xml:space="preserve"> list</w:t>
      </w:r>
      <w:bookmarkEnd w:id="1569"/>
      <w:bookmarkEnd w:id="15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5902"/>
      </w:tblGrid>
      <w:tr w:rsidR="004E534C" w:rsidRPr="005934A1" w14:paraId="234B00F9" w14:textId="77777777" w:rsidTr="00B740AF">
        <w:trPr>
          <w:trHeight w:val="635"/>
        </w:trPr>
        <w:tc>
          <w:tcPr>
            <w:tcW w:w="1727" w:type="pct"/>
            <w:vAlign w:val="center"/>
          </w:tcPr>
          <w:p w14:paraId="0A8D8C03" w14:textId="77777777" w:rsidR="004E534C" w:rsidRPr="005934A1" w:rsidRDefault="004E534C" w:rsidP="00F05000">
            <w:pPr>
              <w:spacing w:before="120"/>
              <w:rPr>
                <w:b/>
                <w:bCs/>
                <w:sz w:val="20"/>
                <w:szCs w:val="20"/>
              </w:rPr>
            </w:pPr>
            <w:r w:rsidRPr="005934A1">
              <w:rPr>
                <w:b/>
                <w:bCs/>
                <w:sz w:val="20"/>
                <w:szCs w:val="20"/>
              </w:rPr>
              <w:t>Stakeholder</w:t>
            </w:r>
          </w:p>
        </w:tc>
        <w:tc>
          <w:tcPr>
            <w:tcW w:w="3273" w:type="pct"/>
            <w:shd w:val="clear" w:color="auto" w:fill="auto"/>
            <w:vAlign w:val="center"/>
          </w:tcPr>
          <w:p w14:paraId="73411838" w14:textId="77777777" w:rsidR="004E534C" w:rsidRPr="005934A1" w:rsidRDefault="004E534C" w:rsidP="00F05000">
            <w:pPr>
              <w:spacing w:before="120"/>
              <w:rPr>
                <w:b/>
                <w:bCs/>
                <w:sz w:val="20"/>
                <w:szCs w:val="20"/>
              </w:rPr>
            </w:pPr>
            <w:r w:rsidRPr="005934A1">
              <w:rPr>
                <w:b/>
                <w:bCs/>
                <w:sz w:val="20"/>
                <w:szCs w:val="20"/>
              </w:rPr>
              <w:t>Description</w:t>
            </w:r>
          </w:p>
        </w:tc>
      </w:tr>
      <w:tr w:rsidR="004E534C" w:rsidRPr="005934A1" w14:paraId="7CE9499B" w14:textId="77777777" w:rsidTr="00B740AF">
        <w:trPr>
          <w:trHeight w:val="330"/>
        </w:trPr>
        <w:tc>
          <w:tcPr>
            <w:tcW w:w="1727" w:type="pct"/>
            <w:shd w:val="clear" w:color="auto" w:fill="D5D6D2" w:themeFill="background2"/>
            <w:vAlign w:val="bottom"/>
          </w:tcPr>
          <w:p w14:paraId="0F712834" w14:textId="77777777" w:rsidR="004E534C" w:rsidRPr="00C1120A" w:rsidRDefault="004E534C" w:rsidP="00F05000">
            <w:pPr>
              <w:spacing w:before="120"/>
              <w:rPr>
                <w:rFonts w:asciiTheme="minorHAnsi" w:hAnsiTheme="minorHAnsi" w:cstheme="minorHAnsi"/>
                <w:b/>
                <w:bCs/>
                <w:sz w:val="20"/>
                <w:szCs w:val="20"/>
              </w:rPr>
            </w:pPr>
            <w:r w:rsidRPr="00C1120A">
              <w:rPr>
                <w:b/>
                <w:bCs/>
                <w:sz w:val="20"/>
                <w:szCs w:val="20"/>
              </w:rPr>
              <w:t>Consumer Advocates</w:t>
            </w:r>
          </w:p>
        </w:tc>
        <w:tc>
          <w:tcPr>
            <w:tcW w:w="3273" w:type="pct"/>
            <w:shd w:val="clear" w:color="auto" w:fill="D5D6D2" w:themeFill="background2"/>
            <w:vAlign w:val="bottom"/>
          </w:tcPr>
          <w:p w14:paraId="031FFAE8" w14:textId="77777777" w:rsidR="004E534C" w:rsidRPr="005934A1" w:rsidRDefault="004E534C" w:rsidP="00F05000">
            <w:pPr>
              <w:spacing w:before="120"/>
              <w:rPr>
                <w:rFonts w:asciiTheme="minorHAnsi" w:hAnsiTheme="minorHAnsi" w:cstheme="minorHAnsi"/>
                <w:sz w:val="20"/>
                <w:szCs w:val="20"/>
              </w:rPr>
            </w:pPr>
          </w:p>
        </w:tc>
      </w:tr>
      <w:tr w:rsidR="00EE2393" w:rsidRPr="005934A1" w14:paraId="3ADFF65B" w14:textId="77777777" w:rsidTr="00B740AF">
        <w:trPr>
          <w:trHeight w:val="330"/>
        </w:trPr>
        <w:tc>
          <w:tcPr>
            <w:tcW w:w="1727" w:type="pct"/>
            <w:vAlign w:val="bottom"/>
          </w:tcPr>
          <w:p w14:paraId="46AE22DD" w14:textId="77777777" w:rsidR="00EE2393" w:rsidRPr="005934A1" w:rsidRDefault="00EE2393" w:rsidP="00F05000">
            <w:pPr>
              <w:spacing w:before="120"/>
              <w:ind w:left="340"/>
              <w:rPr>
                <w:sz w:val="20"/>
                <w:szCs w:val="20"/>
              </w:rPr>
            </w:pPr>
            <w:r w:rsidRPr="005934A1">
              <w:rPr>
                <w:sz w:val="20"/>
                <w:szCs w:val="20"/>
              </w:rPr>
              <w:t>CHOICE</w:t>
            </w:r>
          </w:p>
        </w:tc>
        <w:tc>
          <w:tcPr>
            <w:tcW w:w="3273" w:type="pct"/>
            <w:shd w:val="clear" w:color="auto" w:fill="auto"/>
            <w:vAlign w:val="bottom"/>
          </w:tcPr>
          <w:p w14:paraId="217C5BF1" w14:textId="77777777" w:rsidR="00EE2393" w:rsidRPr="005934A1" w:rsidRDefault="00EE2393" w:rsidP="00F05000">
            <w:pPr>
              <w:spacing w:before="120"/>
              <w:rPr>
                <w:rFonts w:asciiTheme="minorHAnsi" w:hAnsiTheme="minorHAnsi" w:cstheme="minorHAnsi"/>
                <w:sz w:val="20"/>
                <w:szCs w:val="20"/>
              </w:rPr>
            </w:pPr>
            <w:r w:rsidRPr="005934A1">
              <w:rPr>
                <w:sz w:val="20"/>
                <w:szCs w:val="20"/>
              </w:rPr>
              <w:t>Independent and member-funded Australian consumer advocacy group.</w:t>
            </w:r>
          </w:p>
        </w:tc>
      </w:tr>
      <w:tr w:rsidR="00EE2393" w:rsidRPr="005934A1" w14:paraId="342C702A" w14:textId="77777777" w:rsidTr="00B740AF">
        <w:trPr>
          <w:trHeight w:val="330"/>
        </w:trPr>
        <w:tc>
          <w:tcPr>
            <w:tcW w:w="1727" w:type="pct"/>
            <w:vAlign w:val="bottom"/>
          </w:tcPr>
          <w:p w14:paraId="3CFAD7AD" w14:textId="77777777" w:rsidR="00EE2393" w:rsidRPr="005934A1" w:rsidRDefault="00EE2393" w:rsidP="00F05000">
            <w:pPr>
              <w:spacing w:before="120"/>
              <w:ind w:left="340"/>
              <w:rPr>
                <w:sz w:val="20"/>
                <w:szCs w:val="20"/>
              </w:rPr>
            </w:pPr>
            <w:r w:rsidRPr="005934A1">
              <w:rPr>
                <w:sz w:val="20"/>
                <w:szCs w:val="20"/>
              </w:rPr>
              <w:t>Kidsafe Australia</w:t>
            </w:r>
          </w:p>
        </w:tc>
        <w:tc>
          <w:tcPr>
            <w:tcW w:w="3273" w:type="pct"/>
            <w:shd w:val="clear" w:color="auto" w:fill="auto"/>
            <w:vAlign w:val="bottom"/>
          </w:tcPr>
          <w:p w14:paraId="7E30E0C9" w14:textId="7B98D615" w:rsidR="00EE2393" w:rsidRPr="005934A1" w:rsidRDefault="00EE2393" w:rsidP="00F05000">
            <w:pPr>
              <w:spacing w:before="120"/>
              <w:rPr>
                <w:rFonts w:asciiTheme="minorHAnsi" w:hAnsiTheme="minorHAnsi" w:cstheme="minorHAnsi"/>
                <w:sz w:val="20"/>
                <w:szCs w:val="20"/>
              </w:rPr>
            </w:pPr>
            <w:r w:rsidRPr="005934A1">
              <w:rPr>
                <w:sz w:val="20"/>
                <w:szCs w:val="20"/>
                <w:shd w:val="clear" w:color="auto" w:fill="FFFFFF"/>
              </w:rPr>
              <w:t xml:space="preserve">Independent </w:t>
            </w:r>
            <w:r w:rsidR="00BE4600">
              <w:rPr>
                <w:sz w:val="20"/>
                <w:szCs w:val="20"/>
                <w:shd w:val="clear" w:color="auto" w:fill="FFFFFF"/>
              </w:rPr>
              <w:t>not-for-profit</w:t>
            </w:r>
            <w:r w:rsidR="00BE4600" w:rsidRPr="005934A1">
              <w:rPr>
                <w:sz w:val="20"/>
                <w:szCs w:val="20"/>
                <w:shd w:val="clear" w:color="auto" w:fill="FFFFFF"/>
              </w:rPr>
              <w:t xml:space="preserve"> </w:t>
            </w:r>
            <w:r w:rsidRPr="005934A1">
              <w:rPr>
                <w:sz w:val="20"/>
                <w:szCs w:val="20"/>
                <w:shd w:val="clear" w:color="auto" w:fill="FFFFFF"/>
              </w:rPr>
              <w:t>dedicated to the prevention of unintentional death and serious injury to children.</w:t>
            </w:r>
          </w:p>
        </w:tc>
      </w:tr>
      <w:tr w:rsidR="00EE2393" w:rsidRPr="005934A1" w14:paraId="6C0D1ABD" w14:textId="77777777" w:rsidTr="00B740AF">
        <w:trPr>
          <w:trHeight w:val="330"/>
        </w:trPr>
        <w:tc>
          <w:tcPr>
            <w:tcW w:w="1727" w:type="pct"/>
            <w:vAlign w:val="bottom"/>
          </w:tcPr>
          <w:p w14:paraId="27D7B986" w14:textId="77777777" w:rsidR="00EE2393" w:rsidRPr="005934A1" w:rsidRDefault="00EE2393" w:rsidP="00F05000">
            <w:pPr>
              <w:spacing w:before="120"/>
              <w:ind w:left="340"/>
              <w:rPr>
                <w:sz w:val="20"/>
                <w:szCs w:val="20"/>
              </w:rPr>
            </w:pPr>
            <w:r>
              <w:rPr>
                <w:sz w:val="20"/>
                <w:szCs w:val="20"/>
              </w:rPr>
              <w:t>Red Nose Australia</w:t>
            </w:r>
          </w:p>
        </w:tc>
        <w:tc>
          <w:tcPr>
            <w:tcW w:w="3273" w:type="pct"/>
            <w:shd w:val="clear" w:color="auto" w:fill="auto"/>
            <w:vAlign w:val="bottom"/>
          </w:tcPr>
          <w:p w14:paraId="19F52159" w14:textId="3159E64E" w:rsidR="00EE2393" w:rsidRPr="005934A1" w:rsidRDefault="00EE2393" w:rsidP="00F05000">
            <w:pPr>
              <w:spacing w:before="120"/>
              <w:rPr>
                <w:sz w:val="20"/>
                <w:szCs w:val="20"/>
                <w:shd w:val="clear" w:color="auto" w:fill="FFFFFF"/>
              </w:rPr>
            </w:pPr>
            <w:r>
              <w:rPr>
                <w:sz w:val="20"/>
                <w:szCs w:val="20"/>
                <w:shd w:val="clear" w:color="auto" w:fill="FFFFFF"/>
              </w:rPr>
              <w:t>N</w:t>
            </w:r>
            <w:r w:rsidRPr="00CE7B70">
              <w:rPr>
                <w:sz w:val="20"/>
                <w:szCs w:val="20"/>
                <w:shd w:val="clear" w:color="auto" w:fill="FFFFFF"/>
              </w:rPr>
              <w:t>ational charity working to save lives and support families impacted by the death of a baby or child</w:t>
            </w:r>
          </w:p>
        </w:tc>
      </w:tr>
      <w:tr w:rsidR="004242F3" w:rsidRPr="005934A1" w14:paraId="13F4D467" w14:textId="77777777" w:rsidTr="00B740AF">
        <w:trPr>
          <w:trHeight w:val="330"/>
        </w:trPr>
        <w:tc>
          <w:tcPr>
            <w:tcW w:w="1727" w:type="pct"/>
            <w:vAlign w:val="bottom"/>
          </w:tcPr>
          <w:p w14:paraId="7285E7F9" w14:textId="36B9C103" w:rsidR="004242F3" w:rsidRDefault="004242F3" w:rsidP="00F05000">
            <w:pPr>
              <w:spacing w:before="120"/>
              <w:ind w:left="340"/>
              <w:rPr>
                <w:sz w:val="20"/>
                <w:szCs w:val="20"/>
              </w:rPr>
            </w:pPr>
            <w:r>
              <w:rPr>
                <w:sz w:val="20"/>
                <w:szCs w:val="20"/>
              </w:rPr>
              <w:t>Bolt it Back for Reef</w:t>
            </w:r>
          </w:p>
        </w:tc>
        <w:tc>
          <w:tcPr>
            <w:tcW w:w="3273" w:type="pct"/>
            <w:shd w:val="clear" w:color="auto" w:fill="auto"/>
            <w:vAlign w:val="bottom"/>
          </w:tcPr>
          <w:p w14:paraId="16213B83" w14:textId="60E50FC8" w:rsidR="004242F3" w:rsidRDefault="004242F3" w:rsidP="00F05000">
            <w:pPr>
              <w:spacing w:before="120"/>
              <w:rPr>
                <w:sz w:val="20"/>
                <w:szCs w:val="20"/>
                <w:shd w:val="clear" w:color="auto" w:fill="FFFFFF"/>
              </w:rPr>
            </w:pPr>
            <w:r>
              <w:rPr>
                <w:sz w:val="20"/>
                <w:szCs w:val="20"/>
                <w:shd w:val="clear" w:color="auto" w:fill="FFFFFF"/>
              </w:rPr>
              <w:t>Grassroots advocacy group started by the family of Reef Kite</w:t>
            </w:r>
          </w:p>
        </w:tc>
      </w:tr>
      <w:tr w:rsidR="004E534C" w:rsidRPr="005934A1" w14:paraId="65CCFBC4" w14:textId="77777777" w:rsidTr="00B740AF">
        <w:trPr>
          <w:trHeight w:val="330"/>
        </w:trPr>
        <w:tc>
          <w:tcPr>
            <w:tcW w:w="1727" w:type="pct"/>
            <w:shd w:val="clear" w:color="auto" w:fill="D5D6D2" w:themeFill="background2"/>
            <w:vAlign w:val="bottom"/>
          </w:tcPr>
          <w:p w14:paraId="0EBF3DA9" w14:textId="77777777" w:rsidR="004E534C" w:rsidRPr="00672EA7" w:rsidRDefault="004E534C" w:rsidP="00F05000">
            <w:pPr>
              <w:spacing w:before="120"/>
              <w:rPr>
                <w:rFonts w:asciiTheme="minorHAnsi" w:hAnsiTheme="minorHAnsi" w:cstheme="minorHAnsi"/>
                <w:b/>
                <w:bCs/>
                <w:sz w:val="20"/>
                <w:szCs w:val="20"/>
              </w:rPr>
            </w:pPr>
            <w:r w:rsidRPr="00672EA7">
              <w:rPr>
                <w:b/>
                <w:bCs/>
                <w:sz w:val="20"/>
                <w:szCs w:val="20"/>
              </w:rPr>
              <w:t>Regulators</w:t>
            </w:r>
          </w:p>
        </w:tc>
        <w:tc>
          <w:tcPr>
            <w:tcW w:w="3273" w:type="pct"/>
            <w:shd w:val="clear" w:color="auto" w:fill="D5D6D2" w:themeFill="background2"/>
            <w:vAlign w:val="bottom"/>
          </w:tcPr>
          <w:p w14:paraId="59AD3B68" w14:textId="77777777" w:rsidR="004E534C" w:rsidRPr="005934A1" w:rsidRDefault="004E534C" w:rsidP="00F05000">
            <w:pPr>
              <w:spacing w:before="120"/>
              <w:rPr>
                <w:rFonts w:asciiTheme="minorHAnsi" w:hAnsiTheme="minorHAnsi" w:cstheme="minorHAnsi"/>
                <w:sz w:val="20"/>
                <w:szCs w:val="20"/>
              </w:rPr>
            </w:pPr>
          </w:p>
        </w:tc>
      </w:tr>
      <w:tr w:rsidR="00511907" w:rsidRPr="005934A1" w14:paraId="085CF40A" w14:textId="77777777" w:rsidTr="00F05000">
        <w:trPr>
          <w:trHeight w:val="330"/>
        </w:trPr>
        <w:tc>
          <w:tcPr>
            <w:tcW w:w="1727" w:type="pct"/>
            <w:shd w:val="clear" w:color="auto" w:fill="auto"/>
            <w:vAlign w:val="bottom"/>
          </w:tcPr>
          <w:p w14:paraId="6ABBB364" w14:textId="717F0BC0" w:rsidR="00511907" w:rsidRPr="005934A1" w:rsidRDefault="00511907" w:rsidP="00F05000">
            <w:pPr>
              <w:spacing w:before="120"/>
              <w:ind w:left="447"/>
              <w:rPr>
                <w:sz w:val="20"/>
                <w:szCs w:val="20"/>
              </w:rPr>
            </w:pPr>
            <w:r>
              <w:rPr>
                <w:sz w:val="20"/>
                <w:szCs w:val="20"/>
              </w:rPr>
              <w:t>Australian Small Business and Family Enterprise Ombudsman</w:t>
            </w:r>
          </w:p>
        </w:tc>
        <w:tc>
          <w:tcPr>
            <w:tcW w:w="3273" w:type="pct"/>
            <w:shd w:val="clear" w:color="auto" w:fill="auto"/>
            <w:vAlign w:val="bottom"/>
          </w:tcPr>
          <w:p w14:paraId="3DDDFDC3" w14:textId="4E9B5681" w:rsidR="00511907" w:rsidRPr="005934A1" w:rsidRDefault="00511907">
            <w:pPr>
              <w:spacing w:before="120"/>
              <w:rPr>
                <w:rFonts w:asciiTheme="minorHAnsi" w:hAnsiTheme="minorHAnsi" w:cstheme="minorHAnsi"/>
                <w:sz w:val="20"/>
                <w:szCs w:val="20"/>
              </w:rPr>
            </w:pPr>
            <w:r>
              <w:rPr>
                <w:rFonts w:asciiTheme="minorHAnsi" w:hAnsiTheme="minorHAnsi" w:cstheme="minorHAnsi"/>
                <w:sz w:val="20"/>
                <w:szCs w:val="20"/>
              </w:rPr>
              <w:t>Government a</w:t>
            </w:r>
            <w:r w:rsidRPr="00511907">
              <w:rPr>
                <w:rFonts w:asciiTheme="minorHAnsi" w:hAnsiTheme="minorHAnsi" w:cstheme="minorHAnsi"/>
                <w:sz w:val="20"/>
                <w:szCs w:val="20"/>
              </w:rPr>
              <w:t>dvocate for small businesses and family enterprises</w:t>
            </w:r>
          </w:p>
        </w:tc>
      </w:tr>
      <w:tr w:rsidR="00EE2393" w:rsidRPr="005934A1" w14:paraId="48890DC7" w14:textId="77777777" w:rsidTr="00B740AF">
        <w:trPr>
          <w:trHeight w:val="330"/>
        </w:trPr>
        <w:tc>
          <w:tcPr>
            <w:tcW w:w="1727" w:type="pct"/>
            <w:vAlign w:val="bottom"/>
          </w:tcPr>
          <w:p w14:paraId="587161DB" w14:textId="77777777" w:rsidR="00EE2393" w:rsidRPr="005934A1" w:rsidRDefault="00EE2393" w:rsidP="00F05000">
            <w:pPr>
              <w:spacing w:before="120"/>
              <w:ind w:left="340"/>
              <w:rPr>
                <w:sz w:val="20"/>
                <w:szCs w:val="20"/>
              </w:rPr>
            </w:pPr>
            <w:r w:rsidRPr="005934A1">
              <w:rPr>
                <w:sz w:val="20"/>
                <w:szCs w:val="20"/>
              </w:rPr>
              <w:t>Consumer Affairs Agency Japan</w:t>
            </w:r>
          </w:p>
        </w:tc>
        <w:tc>
          <w:tcPr>
            <w:tcW w:w="3273" w:type="pct"/>
            <w:shd w:val="clear" w:color="auto" w:fill="auto"/>
            <w:vAlign w:val="bottom"/>
          </w:tcPr>
          <w:p w14:paraId="10C3F48A" w14:textId="3DE5992C" w:rsidR="00EE2393" w:rsidRPr="005934A1" w:rsidRDefault="00EE2393" w:rsidP="00F05000">
            <w:pPr>
              <w:spacing w:before="120"/>
              <w:rPr>
                <w:rFonts w:asciiTheme="minorHAnsi" w:hAnsiTheme="minorHAnsi" w:cstheme="minorHAnsi"/>
                <w:sz w:val="20"/>
                <w:szCs w:val="20"/>
              </w:rPr>
            </w:pPr>
            <w:r w:rsidRPr="005934A1">
              <w:rPr>
                <w:rFonts w:asciiTheme="minorHAnsi" w:hAnsiTheme="minorHAnsi" w:cstheme="minorHAnsi"/>
                <w:sz w:val="20"/>
                <w:szCs w:val="20"/>
              </w:rPr>
              <w:t>Ja</w:t>
            </w:r>
            <w:r w:rsidRPr="005934A1" w:rsidDel="00A27FD2">
              <w:rPr>
                <w:rFonts w:asciiTheme="minorHAnsi" w:hAnsiTheme="minorHAnsi" w:cstheme="minorHAnsi"/>
                <w:sz w:val="20"/>
                <w:szCs w:val="20"/>
              </w:rPr>
              <w:t>p</w:t>
            </w:r>
            <w:r w:rsidRPr="005934A1">
              <w:rPr>
                <w:rFonts w:asciiTheme="minorHAnsi" w:hAnsiTheme="minorHAnsi" w:cstheme="minorHAnsi"/>
                <w:sz w:val="20"/>
                <w:szCs w:val="20"/>
              </w:rPr>
              <w:t>anese government regulator for consumer rights.</w:t>
            </w:r>
          </w:p>
        </w:tc>
      </w:tr>
      <w:tr w:rsidR="00EE2393" w:rsidRPr="005934A1" w14:paraId="244E5DC0" w14:textId="77777777" w:rsidTr="00B740AF">
        <w:trPr>
          <w:trHeight w:val="330"/>
        </w:trPr>
        <w:tc>
          <w:tcPr>
            <w:tcW w:w="1727" w:type="pct"/>
            <w:vAlign w:val="bottom"/>
          </w:tcPr>
          <w:p w14:paraId="4CE2553F" w14:textId="77777777" w:rsidR="00EE2393" w:rsidRPr="005934A1" w:rsidRDefault="00EE2393" w:rsidP="00F05000">
            <w:pPr>
              <w:spacing w:before="120"/>
              <w:ind w:left="340"/>
              <w:rPr>
                <w:sz w:val="20"/>
                <w:szCs w:val="20"/>
              </w:rPr>
            </w:pPr>
            <w:r w:rsidRPr="005934A1">
              <w:rPr>
                <w:sz w:val="20"/>
                <w:szCs w:val="20"/>
              </w:rPr>
              <w:t>Consumer Protection Western Australia</w:t>
            </w:r>
          </w:p>
        </w:tc>
        <w:tc>
          <w:tcPr>
            <w:tcW w:w="3273" w:type="pct"/>
            <w:shd w:val="clear" w:color="auto" w:fill="auto"/>
            <w:vAlign w:val="bottom"/>
          </w:tcPr>
          <w:p w14:paraId="21ED3671" w14:textId="38526D74" w:rsidR="00EE2393" w:rsidRPr="005934A1" w:rsidRDefault="00EE2393" w:rsidP="00F05000">
            <w:pPr>
              <w:spacing w:before="120"/>
              <w:rPr>
                <w:rFonts w:asciiTheme="minorHAnsi" w:hAnsiTheme="minorHAnsi" w:cstheme="minorHAnsi"/>
                <w:sz w:val="20"/>
                <w:szCs w:val="20"/>
              </w:rPr>
            </w:pPr>
            <w:r w:rsidRPr="005934A1">
              <w:rPr>
                <w:rFonts w:asciiTheme="minorHAnsi" w:hAnsiTheme="minorHAnsi" w:cstheme="minorHAnsi"/>
                <w:sz w:val="20"/>
                <w:szCs w:val="20"/>
              </w:rPr>
              <w:t>State government agency promoting fair trading and consumer protection</w:t>
            </w:r>
          </w:p>
        </w:tc>
      </w:tr>
      <w:tr w:rsidR="00EE2393" w:rsidRPr="005934A1" w14:paraId="37A52564" w14:textId="77777777" w:rsidTr="00B740AF">
        <w:trPr>
          <w:trHeight w:val="330"/>
        </w:trPr>
        <w:tc>
          <w:tcPr>
            <w:tcW w:w="1727" w:type="pct"/>
            <w:vAlign w:val="bottom"/>
          </w:tcPr>
          <w:p w14:paraId="6D6F5A46" w14:textId="77777777" w:rsidR="00EE2393" w:rsidRPr="005934A1" w:rsidRDefault="00EE2393" w:rsidP="00F05000">
            <w:pPr>
              <w:spacing w:before="120"/>
              <w:ind w:left="340"/>
              <w:rPr>
                <w:sz w:val="20"/>
                <w:szCs w:val="20"/>
              </w:rPr>
            </w:pPr>
            <w:r w:rsidRPr="005934A1">
              <w:rPr>
                <w:sz w:val="20"/>
                <w:szCs w:val="20"/>
              </w:rPr>
              <w:t>NSW Fair Trading</w:t>
            </w:r>
          </w:p>
        </w:tc>
        <w:tc>
          <w:tcPr>
            <w:tcW w:w="3273" w:type="pct"/>
            <w:shd w:val="clear" w:color="auto" w:fill="auto"/>
            <w:vAlign w:val="bottom"/>
          </w:tcPr>
          <w:p w14:paraId="63E7333A" w14:textId="4D3DC5C5" w:rsidR="00EE2393" w:rsidRPr="005934A1" w:rsidRDefault="00EE2393" w:rsidP="00F05000">
            <w:pPr>
              <w:spacing w:before="120"/>
              <w:rPr>
                <w:rFonts w:asciiTheme="minorHAnsi" w:hAnsiTheme="minorHAnsi" w:cstheme="minorHAnsi"/>
                <w:sz w:val="20"/>
                <w:szCs w:val="20"/>
              </w:rPr>
            </w:pPr>
            <w:r w:rsidRPr="005934A1">
              <w:rPr>
                <w:rFonts w:asciiTheme="minorHAnsi" w:hAnsiTheme="minorHAnsi" w:cstheme="minorHAnsi"/>
                <w:sz w:val="20"/>
                <w:szCs w:val="20"/>
              </w:rPr>
              <w:t>State regulator for fair trading and consumer protection. Division of the Department of Customer Service</w:t>
            </w:r>
          </w:p>
        </w:tc>
      </w:tr>
      <w:tr w:rsidR="00EE2393" w:rsidRPr="005934A1" w14:paraId="6AF111DE" w14:textId="77777777" w:rsidTr="00B740AF">
        <w:trPr>
          <w:trHeight w:val="330"/>
        </w:trPr>
        <w:tc>
          <w:tcPr>
            <w:tcW w:w="1727" w:type="pct"/>
            <w:vAlign w:val="bottom"/>
          </w:tcPr>
          <w:p w14:paraId="559847B1" w14:textId="77777777" w:rsidR="00EE2393" w:rsidRPr="005934A1" w:rsidRDefault="00EE2393" w:rsidP="00F05000">
            <w:pPr>
              <w:spacing w:before="120"/>
              <w:ind w:left="340"/>
              <w:rPr>
                <w:sz w:val="20"/>
                <w:szCs w:val="20"/>
              </w:rPr>
            </w:pPr>
            <w:r w:rsidRPr="005934A1">
              <w:rPr>
                <w:sz w:val="20"/>
                <w:szCs w:val="20"/>
              </w:rPr>
              <w:t>Office of Product Safety &amp; Standards UK</w:t>
            </w:r>
          </w:p>
        </w:tc>
        <w:tc>
          <w:tcPr>
            <w:tcW w:w="3273" w:type="pct"/>
            <w:shd w:val="clear" w:color="auto" w:fill="auto"/>
            <w:vAlign w:val="bottom"/>
          </w:tcPr>
          <w:p w14:paraId="4E032D63" w14:textId="55D8ED1C" w:rsidR="00EE2393" w:rsidRPr="005934A1" w:rsidRDefault="00EE2393" w:rsidP="00F05000">
            <w:pPr>
              <w:spacing w:before="120"/>
              <w:rPr>
                <w:rFonts w:asciiTheme="minorHAnsi" w:hAnsiTheme="minorHAnsi" w:cstheme="minorHAnsi"/>
                <w:sz w:val="20"/>
                <w:szCs w:val="20"/>
              </w:rPr>
            </w:pPr>
            <w:r w:rsidRPr="005934A1">
              <w:rPr>
                <w:rFonts w:asciiTheme="minorHAnsi" w:hAnsiTheme="minorHAnsi" w:cstheme="minorHAnsi"/>
                <w:sz w:val="20"/>
                <w:szCs w:val="20"/>
              </w:rPr>
              <w:t>UK government regulator for product safety and standards</w:t>
            </w:r>
          </w:p>
        </w:tc>
      </w:tr>
      <w:tr w:rsidR="00EE2393" w:rsidRPr="005934A1" w14:paraId="34A22008" w14:textId="77777777" w:rsidTr="00F05000">
        <w:trPr>
          <w:trHeight w:val="330"/>
        </w:trPr>
        <w:tc>
          <w:tcPr>
            <w:tcW w:w="1727" w:type="pct"/>
            <w:shd w:val="clear" w:color="auto" w:fill="auto"/>
            <w:vAlign w:val="bottom"/>
          </w:tcPr>
          <w:p w14:paraId="3D4768DC" w14:textId="7E0D1D24" w:rsidR="00EE2393" w:rsidRPr="005934A1" w:rsidRDefault="00EE2393" w:rsidP="00F05000">
            <w:pPr>
              <w:spacing w:before="120"/>
              <w:ind w:left="306"/>
              <w:rPr>
                <w:sz w:val="20"/>
                <w:szCs w:val="20"/>
              </w:rPr>
            </w:pPr>
            <w:r>
              <w:rPr>
                <w:sz w:val="20"/>
                <w:szCs w:val="20"/>
              </w:rPr>
              <w:t>Queensland Family and Child Commission</w:t>
            </w:r>
          </w:p>
        </w:tc>
        <w:tc>
          <w:tcPr>
            <w:tcW w:w="3273" w:type="pct"/>
            <w:shd w:val="clear" w:color="auto" w:fill="auto"/>
            <w:vAlign w:val="bottom"/>
          </w:tcPr>
          <w:p w14:paraId="778E9975" w14:textId="77777777" w:rsidR="00EE2393" w:rsidRPr="005934A1" w:rsidRDefault="00EE2393" w:rsidP="00F05000">
            <w:pPr>
              <w:spacing w:before="120"/>
              <w:rPr>
                <w:rFonts w:asciiTheme="minorHAnsi" w:hAnsiTheme="minorHAnsi" w:cstheme="minorHAnsi"/>
                <w:sz w:val="20"/>
                <w:szCs w:val="20"/>
              </w:rPr>
            </w:pPr>
            <w:r>
              <w:rPr>
                <w:rFonts w:asciiTheme="minorHAnsi" w:hAnsiTheme="minorHAnsi" w:cstheme="minorHAnsi"/>
                <w:sz w:val="20"/>
                <w:szCs w:val="20"/>
              </w:rPr>
              <w:t>Queensland’s child protection system regulator</w:t>
            </w:r>
          </w:p>
        </w:tc>
      </w:tr>
      <w:tr w:rsidR="005A6E95" w:rsidRPr="005934A1" w14:paraId="7CDBF7FD" w14:textId="77777777" w:rsidTr="005C66F4">
        <w:trPr>
          <w:trHeight w:val="330"/>
        </w:trPr>
        <w:tc>
          <w:tcPr>
            <w:tcW w:w="1727" w:type="pct"/>
            <w:shd w:val="clear" w:color="auto" w:fill="auto"/>
            <w:vAlign w:val="bottom"/>
          </w:tcPr>
          <w:p w14:paraId="03DAF62A" w14:textId="5AADB3D3" w:rsidR="005A6E95" w:rsidRDefault="005A6E95">
            <w:pPr>
              <w:spacing w:before="120"/>
              <w:ind w:left="306"/>
              <w:rPr>
                <w:sz w:val="20"/>
                <w:szCs w:val="20"/>
              </w:rPr>
            </w:pPr>
            <w:r>
              <w:rPr>
                <w:sz w:val="20"/>
                <w:szCs w:val="20"/>
              </w:rPr>
              <w:t>Queensland Office of Fair Trading</w:t>
            </w:r>
          </w:p>
        </w:tc>
        <w:tc>
          <w:tcPr>
            <w:tcW w:w="3273" w:type="pct"/>
            <w:shd w:val="clear" w:color="auto" w:fill="auto"/>
            <w:vAlign w:val="bottom"/>
          </w:tcPr>
          <w:p w14:paraId="02226727" w14:textId="73D564C8" w:rsidR="005A6E95" w:rsidRDefault="00511907">
            <w:pPr>
              <w:spacing w:before="120"/>
              <w:rPr>
                <w:rFonts w:asciiTheme="minorHAnsi" w:hAnsiTheme="minorHAnsi" w:cstheme="minorHAnsi"/>
                <w:sz w:val="20"/>
                <w:szCs w:val="20"/>
              </w:rPr>
            </w:pPr>
            <w:r>
              <w:rPr>
                <w:rFonts w:asciiTheme="minorHAnsi" w:hAnsiTheme="minorHAnsi" w:cstheme="minorHAnsi"/>
                <w:sz w:val="20"/>
                <w:szCs w:val="20"/>
              </w:rPr>
              <w:t>State regulator</w:t>
            </w:r>
            <w:r w:rsidR="004B1B8F">
              <w:rPr>
                <w:rFonts w:asciiTheme="minorHAnsi" w:hAnsiTheme="minorHAnsi" w:cstheme="minorHAnsi"/>
                <w:sz w:val="20"/>
                <w:szCs w:val="20"/>
              </w:rPr>
              <w:t xml:space="preserve"> for consumer protection</w:t>
            </w:r>
          </w:p>
        </w:tc>
      </w:tr>
      <w:tr w:rsidR="00EE2393" w:rsidRPr="005934A1" w14:paraId="3F86C234" w14:textId="77777777" w:rsidTr="00B740AF">
        <w:trPr>
          <w:trHeight w:val="330"/>
        </w:trPr>
        <w:tc>
          <w:tcPr>
            <w:tcW w:w="1727" w:type="pct"/>
            <w:vAlign w:val="bottom"/>
          </w:tcPr>
          <w:p w14:paraId="4AB39691" w14:textId="77777777" w:rsidR="00EE2393" w:rsidRPr="005934A1" w:rsidRDefault="00EE2393" w:rsidP="00F05000">
            <w:pPr>
              <w:spacing w:before="120"/>
              <w:ind w:left="340"/>
              <w:rPr>
                <w:sz w:val="20"/>
                <w:szCs w:val="20"/>
              </w:rPr>
            </w:pPr>
            <w:r w:rsidRPr="005934A1">
              <w:rPr>
                <w:sz w:val="20"/>
                <w:szCs w:val="20"/>
              </w:rPr>
              <w:t>Superintendence of Industry and Commerce Columbia</w:t>
            </w:r>
          </w:p>
        </w:tc>
        <w:tc>
          <w:tcPr>
            <w:tcW w:w="3273" w:type="pct"/>
            <w:shd w:val="clear" w:color="auto" w:fill="auto"/>
            <w:vAlign w:val="bottom"/>
          </w:tcPr>
          <w:p w14:paraId="66A41356" w14:textId="5C88473D" w:rsidR="00EE2393" w:rsidRPr="005934A1" w:rsidRDefault="00EE2393" w:rsidP="00F05000">
            <w:pPr>
              <w:spacing w:before="120"/>
              <w:rPr>
                <w:rFonts w:asciiTheme="minorHAnsi" w:hAnsiTheme="minorHAnsi" w:cstheme="minorHAnsi"/>
                <w:sz w:val="20"/>
                <w:szCs w:val="20"/>
              </w:rPr>
            </w:pPr>
            <w:r w:rsidRPr="005934A1">
              <w:rPr>
                <w:rFonts w:asciiTheme="minorHAnsi" w:hAnsiTheme="minorHAnsi" w:cstheme="minorHAnsi"/>
                <w:sz w:val="20"/>
                <w:szCs w:val="20"/>
              </w:rPr>
              <w:t>Colombian competition and consumer authority</w:t>
            </w:r>
          </w:p>
        </w:tc>
      </w:tr>
      <w:tr w:rsidR="00EE2393" w:rsidRPr="005934A1" w14:paraId="2B23C986" w14:textId="77777777" w:rsidTr="005C66F4">
        <w:trPr>
          <w:trHeight w:val="330"/>
        </w:trPr>
        <w:tc>
          <w:tcPr>
            <w:tcW w:w="1727" w:type="pct"/>
            <w:shd w:val="clear" w:color="auto" w:fill="auto"/>
            <w:vAlign w:val="bottom"/>
          </w:tcPr>
          <w:p w14:paraId="2FD51750" w14:textId="77777777" w:rsidR="00EE2393" w:rsidRDefault="00EE2393" w:rsidP="00F05000">
            <w:pPr>
              <w:spacing w:before="120"/>
              <w:ind w:left="306"/>
              <w:rPr>
                <w:sz w:val="20"/>
                <w:szCs w:val="20"/>
              </w:rPr>
            </w:pPr>
            <w:r>
              <w:rPr>
                <w:sz w:val="20"/>
                <w:szCs w:val="20"/>
              </w:rPr>
              <w:t>Wellbeing SA</w:t>
            </w:r>
          </w:p>
        </w:tc>
        <w:tc>
          <w:tcPr>
            <w:tcW w:w="3273" w:type="pct"/>
            <w:shd w:val="clear" w:color="auto" w:fill="auto"/>
            <w:vAlign w:val="bottom"/>
          </w:tcPr>
          <w:p w14:paraId="1CEC2A69" w14:textId="77777777" w:rsidR="00EE2393" w:rsidRDefault="00EE2393" w:rsidP="00F05000">
            <w:pPr>
              <w:spacing w:before="120"/>
              <w:rPr>
                <w:rFonts w:asciiTheme="minorHAnsi" w:hAnsiTheme="minorHAnsi" w:cstheme="minorHAnsi"/>
                <w:sz w:val="20"/>
                <w:szCs w:val="20"/>
              </w:rPr>
            </w:pPr>
            <w:r>
              <w:rPr>
                <w:rFonts w:asciiTheme="minorHAnsi" w:hAnsiTheme="minorHAnsi" w:cstheme="minorHAnsi"/>
                <w:sz w:val="20"/>
                <w:szCs w:val="20"/>
              </w:rPr>
              <w:t>A</w:t>
            </w:r>
            <w:r w:rsidRPr="00F2717A">
              <w:rPr>
                <w:rFonts w:asciiTheme="minorHAnsi" w:hAnsiTheme="minorHAnsi" w:cstheme="minorHAnsi"/>
                <w:sz w:val="20"/>
                <w:szCs w:val="20"/>
              </w:rPr>
              <w:t xml:space="preserve"> state government agency leading a renewed focus on prevention and supporting the physical, mental and social wellbeing of all South Australians</w:t>
            </w:r>
          </w:p>
        </w:tc>
      </w:tr>
      <w:tr w:rsidR="004E534C" w:rsidRPr="005934A1" w14:paraId="56D4E793" w14:textId="77777777" w:rsidTr="00B740AF">
        <w:trPr>
          <w:trHeight w:val="330"/>
        </w:trPr>
        <w:tc>
          <w:tcPr>
            <w:tcW w:w="1727" w:type="pct"/>
            <w:shd w:val="clear" w:color="auto" w:fill="D5D6D2" w:themeFill="background2"/>
            <w:vAlign w:val="bottom"/>
          </w:tcPr>
          <w:p w14:paraId="3B4AD392" w14:textId="77777777" w:rsidR="004E534C" w:rsidRPr="00672EA7" w:rsidRDefault="004E534C" w:rsidP="00F05000">
            <w:pPr>
              <w:spacing w:before="120"/>
              <w:rPr>
                <w:rFonts w:asciiTheme="minorHAnsi" w:hAnsiTheme="minorHAnsi" w:cstheme="minorHAnsi"/>
                <w:b/>
                <w:bCs/>
                <w:sz w:val="20"/>
                <w:szCs w:val="20"/>
              </w:rPr>
            </w:pPr>
            <w:r w:rsidRPr="00672EA7">
              <w:rPr>
                <w:b/>
                <w:bCs/>
                <w:sz w:val="20"/>
                <w:szCs w:val="20"/>
              </w:rPr>
              <w:t>Industry Associations</w:t>
            </w:r>
          </w:p>
        </w:tc>
        <w:tc>
          <w:tcPr>
            <w:tcW w:w="3273" w:type="pct"/>
            <w:shd w:val="clear" w:color="auto" w:fill="D5D6D2" w:themeFill="background2"/>
            <w:vAlign w:val="bottom"/>
          </w:tcPr>
          <w:p w14:paraId="40A36134" w14:textId="77777777" w:rsidR="004E534C" w:rsidRPr="005934A1" w:rsidRDefault="004E534C" w:rsidP="00F05000">
            <w:pPr>
              <w:spacing w:before="120"/>
              <w:rPr>
                <w:rFonts w:asciiTheme="minorHAnsi" w:hAnsiTheme="minorHAnsi" w:cstheme="minorHAnsi"/>
                <w:sz w:val="20"/>
                <w:szCs w:val="20"/>
              </w:rPr>
            </w:pPr>
          </w:p>
        </w:tc>
      </w:tr>
      <w:tr w:rsidR="00EE2393" w:rsidRPr="005934A1" w14:paraId="1366AC5D" w14:textId="77777777" w:rsidTr="00B740AF">
        <w:trPr>
          <w:trHeight w:val="330"/>
        </w:trPr>
        <w:tc>
          <w:tcPr>
            <w:tcW w:w="1727" w:type="pct"/>
            <w:vAlign w:val="bottom"/>
          </w:tcPr>
          <w:p w14:paraId="2BF51896" w14:textId="77777777" w:rsidR="00EE2393" w:rsidRPr="005934A1" w:rsidRDefault="00EE2393" w:rsidP="00F05000">
            <w:pPr>
              <w:spacing w:before="120"/>
              <w:ind w:left="340"/>
              <w:rPr>
                <w:sz w:val="20"/>
                <w:szCs w:val="20"/>
              </w:rPr>
            </w:pPr>
            <w:r w:rsidRPr="005934A1">
              <w:rPr>
                <w:sz w:val="20"/>
                <w:szCs w:val="20"/>
              </w:rPr>
              <w:t>Australasian Furniture Association</w:t>
            </w:r>
          </w:p>
        </w:tc>
        <w:tc>
          <w:tcPr>
            <w:tcW w:w="3273" w:type="pct"/>
            <w:shd w:val="clear" w:color="auto" w:fill="auto"/>
            <w:vAlign w:val="bottom"/>
          </w:tcPr>
          <w:p w14:paraId="74BD0B48" w14:textId="7321CF4A" w:rsidR="00EE2393" w:rsidRPr="005934A1" w:rsidRDefault="00EE2393" w:rsidP="00F05000">
            <w:pPr>
              <w:spacing w:before="120"/>
              <w:rPr>
                <w:rFonts w:asciiTheme="minorHAnsi" w:hAnsiTheme="minorHAnsi" w:cstheme="minorHAnsi"/>
                <w:sz w:val="20"/>
                <w:szCs w:val="20"/>
              </w:rPr>
            </w:pPr>
            <w:r w:rsidRPr="005934A1">
              <w:rPr>
                <w:rFonts w:asciiTheme="minorHAnsi" w:hAnsiTheme="minorHAnsi" w:cstheme="minorHAnsi"/>
                <w:sz w:val="20"/>
                <w:szCs w:val="20"/>
              </w:rPr>
              <w:t>Peak Australian industry association for the furniture sector supply chain</w:t>
            </w:r>
          </w:p>
        </w:tc>
      </w:tr>
      <w:tr w:rsidR="00EE2393" w:rsidRPr="005934A1" w14:paraId="4EF5CBED" w14:textId="77777777" w:rsidTr="00B740AF">
        <w:trPr>
          <w:trHeight w:val="692"/>
        </w:trPr>
        <w:tc>
          <w:tcPr>
            <w:tcW w:w="1727" w:type="pct"/>
            <w:vAlign w:val="bottom"/>
          </w:tcPr>
          <w:p w14:paraId="64EF3224" w14:textId="77777777" w:rsidR="00EE2393" w:rsidRPr="005934A1" w:rsidRDefault="00EE2393" w:rsidP="00F05000">
            <w:pPr>
              <w:spacing w:before="120"/>
              <w:ind w:left="340"/>
              <w:rPr>
                <w:sz w:val="20"/>
                <w:szCs w:val="20"/>
              </w:rPr>
            </w:pPr>
            <w:r w:rsidRPr="005934A1">
              <w:rPr>
                <w:sz w:val="20"/>
                <w:szCs w:val="20"/>
              </w:rPr>
              <w:t>Australian Cabinet and Furniture Association</w:t>
            </w:r>
          </w:p>
        </w:tc>
        <w:tc>
          <w:tcPr>
            <w:tcW w:w="3273" w:type="pct"/>
            <w:shd w:val="clear" w:color="auto" w:fill="auto"/>
            <w:vAlign w:val="bottom"/>
          </w:tcPr>
          <w:p w14:paraId="47637E6C" w14:textId="731A4BCE" w:rsidR="00EE2393" w:rsidRPr="005934A1" w:rsidRDefault="00EE2393" w:rsidP="00F05000">
            <w:pPr>
              <w:spacing w:before="120"/>
              <w:rPr>
                <w:rFonts w:asciiTheme="minorHAnsi" w:hAnsiTheme="minorHAnsi" w:cstheme="minorHAnsi"/>
                <w:sz w:val="20"/>
                <w:szCs w:val="20"/>
              </w:rPr>
            </w:pPr>
            <w:r w:rsidRPr="005934A1">
              <w:rPr>
                <w:rFonts w:asciiTheme="minorHAnsi" w:hAnsiTheme="minorHAnsi" w:cstheme="minorHAnsi"/>
                <w:sz w:val="20"/>
                <w:szCs w:val="20"/>
              </w:rPr>
              <w:t>Peak Australian association representing the interests of the furnishing, cabinet making, kitchen and joinery industries</w:t>
            </w:r>
          </w:p>
        </w:tc>
      </w:tr>
      <w:tr w:rsidR="00EE2393" w:rsidRPr="005934A1" w14:paraId="70E4F674" w14:textId="77777777" w:rsidTr="00B740AF">
        <w:trPr>
          <w:trHeight w:val="330"/>
        </w:trPr>
        <w:tc>
          <w:tcPr>
            <w:tcW w:w="1727" w:type="pct"/>
            <w:vAlign w:val="bottom"/>
          </w:tcPr>
          <w:p w14:paraId="469D2301" w14:textId="77777777" w:rsidR="00EE2393" w:rsidRPr="005934A1" w:rsidRDefault="00EE2393" w:rsidP="00F05000">
            <w:pPr>
              <w:spacing w:before="120"/>
              <w:ind w:left="340"/>
              <w:rPr>
                <w:sz w:val="20"/>
                <w:szCs w:val="20"/>
              </w:rPr>
            </w:pPr>
            <w:r>
              <w:rPr>
                <w:sz w:val="20"/>
                <w:szCs w:val="20"/>
              </w:rPr>
              <w:t>Australian Retailers Association</w:t>
            </w:r>
          </w:p>
        </w:tc>
        <w:tc>
          <w:tcPr>
            <w:tcW w:w="3273" w:type="pct"/>
            <w:shd w:val="clear" w:color="auto" w:fill="auto"/>
            <w:vAlign w:val="bottom"/>
          </w:tcPr>
          <w:p w14:paraId="1554CA63" w14:textId="3AEE3973" w:rsidR="00EE2393" w:rsidRPr="005934A1" w:rsidRDefault="004B1B8F" w:rsidP="00F05000">
            <w:pPr>
              <w:spacing w:before="120"/>
              <w:rPr>
                <w:rFonts w:asciiTheme="minorHAnsi" w:hAnsiTheme="minorHAnsi" w:cstheme="minorHAnsi"/>
                <w:sz w:val="20"/>
                <w:szCs w:val="20"/>
              </w:rPr>
            </w:pPr>
            <w:r>
              <w:rPr>
                <w:rFonts w:asciiTheme="minorHAnsi" w:hAnsiTheme="minorHAnsi" w:cstheme="minorHAnsi"/>
                <w:sz w:val="20"/>
                <w:szCs w:val="20"/>
              </w:rPr>
              <w:t>Not-for-profit</w:t>
            </w:r>
            <w:r w:rsidRPr="005934A1">
              <w:rPr>
                <w:rFonts w:asciiTheme="minorHAnsi" w:hAnsiTheme="minorHAnsi" w:cstheme="minorHAnsi"/>
                <w:sz w:val="20"/>
                <w:szCs w:val="20"/>
              </w:rPr>
              <w:t xml:space="preserve"> </w:t>
            </w:r>
            <w:r w:rsidR="00EE2393" w:rsidRPr="005934A1">
              <w:rPr>
                <w:rFonts w:asciiTheme="minorHAnsi" w:hAnsiTheme="minorHAnsi" w:cstheme="minorHAnsi"/>
                <w:sz w:val="20"/>
                <w:szCs w:val="20"/>
              </w:rPr>
              <w:t>organisation representing the interests of retailers across Australia</w:t>
            </w:r>
          </w:p>
        </w:tc>
      </w:tr>
      <w:tr w:rsidR="0083236B" w:rsidRPr="005934A1" w14:paraId="1F5AABDA" w14:textId="77777777" w:rsidTr="00B740AF">
        <w:trPr>
          <w:trHeight w:val="330"/>
        </w:trPr>
        <w:tc>
          <w:tcPr>
            <w:tcW w:w="1727" w:type="pct"/>
            <w:vAlign w:val="bottom"/>
          </w:tcPr>
          <w:p w14:paraId="64E5E88F" w14:textId="075A13DE" w:rsidR="0083236B" w:rsidRDefault="0083236B">
            <w:pPr>
              <w:spacing w:before="120"/>
              <w:ind w:left="340"/>
              <w:rPr>
                <w:sz w:val="20"/>
                <w:szCs w:val="20"/>
              </w:rPr>
            </w:pPr>
            <w:r>
              <w:rPr>
                <w:sz w:val="20"/>
                <w:szCs w:val="20"/>
              </w:rPr>
              <w:t>Compliance Wise Consulting</w:t>
            </w:r>
          </w:p>
        </w:tc>
        <w:tc>
          <w:tcPr>
            <w:tcW w:w="3273" w:type="pct"/>
            <w:shd w:val="clear" w:color="auto" w:fill="auto"/>
            <w:vAlign w:val="bottom"/>
          </w:tcPr>
          <w:p w14:paraId="6317B3D4" w14:textId="601EC658" w:rsidR="0083236B" w:rsidRPr="005934A1" w:rsidRDefault="0083236B">
            <w:pPr>
              <w:spacing w:before="120"/>
              <w:rPr>
                <w:rFonts w:asciiTheme="minorHAnsi" w:hAnsiTheme="minorHAnsi" w:cstheme="minorHAnsi"/>
                <w:sz w:val="20"/>
                <w:szCs w:val="20"/>
              </w:rPr>
            </w:pPr>
            <w:r>
              <w:rPr>
                <w:rFonts w:asciiTheme="minorHAnsi" w:hAnsiTheme="minorHAnsi" w:cstheme="minorHAnsi"/>
                <w:sz w:val="20"/>
                <w:szCs w:val="20"/>
              </w:rPr>
              <w:t>C</w:t>
            </w:r>
            <w:r w:rsidRPr="0083236B">
              <w:rPr>
                <w:rFonts w:asciiTheme="minorHAnsi" w:hAnsiTheme="minorHAnsi" w:cstheme="minorHAnsi"/>
                <w:sz w:val="20"/>
                <w:szCs w:val="20"/>
              </w:rPr>
              <w:t>onsulting business who specialises in consumer product safety and compliance</w:t>
            </w:r>
          </w:p>
        </w:tc>
      </w:tr>
      <w:tr w:rsidR="00EE2393" w:rsidRPr="005934A1" w14:paraId="218E0A7D" w14:textId="77777777" w:rsidTr="00B740AF">
        <w:trPr>
          <w:trHeight w:val="330"/>
        </w:trPr>
        <w:tc>
          <w:tcPr>
            <w:tcW w:w="1727" w:type="pct"/>
            <w:vAlign w:val="bottom"/>
          </w:tcPr>
          <w:p w14:paraId="1ACFACB7" w14:textId="77777777" w:rsidR="00EE2393" w:rsidRPr="005934A1" w:rsidRDefault="00EE2393" w:rsidP="00F05000">
            <w:pPr>
              <w:spacing w:before="120"/>
              <w:ind w:left="340"/>
              <w:rPr>
                <w:sz w:val="20"/>
                <w:szCs w:val="20"/>
              </w:rPr>
            </w:pPr>
            <w:r w:rsidRPr="005934A1">
              <w:rPr>
                <w:sz w:val="20"/>
                <w:szCs w:val="20"/>
              </w:rPr>
              <w:t>Consumer Electronics Suppliers Association</w:t>
            </w:r>
          </w:p>
        </w:tc>
        <w:tc>
          <w:tcPr>
            <w:tcW w:w="3273" w:type="pct"/>
            <w:shd w:val="clear" w:color="auto" w:fill="auto"/>
            <w:vAlign w:val="bottom"/>
          </w:tcPr>
          <w:p w14:paraId="2C21A39A" w14:textId="17AC0872" w:rsidR="00EE2393" w:rsidRPr="005934A1" w:rsidRDefault="00EE2393" w:rsidP="00F05000">
            <w:pPr>
              <w:spacing w:before="120"/>
              <w:rPr>
                <w:rFonts w:asciiTheme="minorHAnsi" w:hAnsiTheme="minorHAnsi" w:cstheme="minorHAnsi"/>
                <w:sz w:val="20"/>
                <w:szCs w:val="20"/>
              </w:rPr>
            </w:pPr>
            <w:r w:rsidRPr="005934A1">
              <w:rPr>
                <w:rFonts w:asciiTheme="minorHAnsi" w:hAnsiTheme="minorHAnsi" w:cstheme="minorHAnsi"/>
                <w:sz w:val="20"/>
                <w:szCs w:val="20"/>
              </w:rPr>
              <w:t>Industry association representing suppliers of a wide range of consumer appliances in the Australian and New Zealand market</w:t>
            </w:r>
          </w:p>
        </w:tc>
      </w:tr>
      <w:tr w:rsidR="00EE2393" w:rsidRPr="005934A1" w14:paraId="42BA045B" w14:textId="77777777" w:rsidTr="00B740AF">
        <w:trPr>
          <w:trHeight w:val="330"/>
        </w:trPr>
        <w:tc>
          <w:tcPr>
            <w:tcW w:w="1727" w:type="pct"/>
            <w:vAlign w:val="bottom"/>
          </w:tcPr>
          <w:p w14:paraId="61351215" w14:textId="77777777" w:rsidR="00EE2393" w:rsidRPr="005934A1" w:rsidRDefault="00EE2393" w:rsidP="00F05000">
            <w:pPr>
              <w:spacing w:before="120"/>
              <w:ind w:left="340"/>
              <w:rPr>
                <w:sz w:val="20"/>
                <w:szCs w:val="20"/>
              </w:rPr>
            </w:pPr>
            <w:r>
              <w:rPr>
                <w:sz w:val="20"/>
                <w:szCs w:val="20"/>
              </w:rPr>
              <w:t>Consumers Federation of Australia</w:t>
            </w:r>
          </w:p>
        </w:tc>
        <w:tc>
          <w:tcPr>
            <w:tcW w:w="3273" w:type="pct"/>
            <w:shd w:val="clear" w:color="auto" w:fill="auto"/>
            <w:vAlign w:val="bottom"/>
          </w:tcPr>
          <w:p w14:paraId="4C03A411" w14:textId="3DCCB529" w:rsidR="00EE2393" w:rsidRPr="005934A1" w:rsidRDefault="00EE2393" w:rsidP="00F05000">
            <w:pPr>
              <w:spacing w:before="120"/>
              <w:rPr>
                <w:rFonts w:asciiTheme="minorHAnsi" w:hAnsiTheme="minorHAnsi" w:cstheme="minorHAnsi"/>
                <w:sz w:val="20"/>
                <w:szCs w:val="20"/>
              </w:rPr>
            </w:pPr>
            <w:r>
              <w:rPr>
                <w:rFonts w:asciiTheme="minorHAnsi" w:hAnsiTheme="minorHAnsi" w:cstheme="minorHAnsi"/>
                <w:sz w:val="20"/>
                <w:szCs w:val="20"/>
              </w:rPr>
              <w:t>T</w:t>
            </w:r>
            <w:r w:rsidRPr="002E4951">
              <w:rPr>
                <w:rFonts w:asciiTheme="minorHAnsi" w:hAnsiTheme="minorHAnsi" w:cstheme="minorHAnsi"/>
                <w:sz w:val="20"/>
                <w:szCs w:val="20"/>
              </w:rPr>
              <w:t>he peak body for consumer organisations in Australia</w:t>
            </w:r>
          </w:p>
        </w:tc>
      </w:tr>
      <w:tr w:rsidR="00EE2393" w:rsidRPr="005934A1" w14:paraId="779179BB" w14:textId="77777777" w:rsidTr="00B740AF">
        <w:trPr>
          <w:trHeight w:val="330"/>
        </w:trPr>
        <w:tc>
          <w:tcPr>
            <w:tcW w:w="1727" w:type="pct"/>
            <w:vAlign w:val="bottom"/>
          </w:tcPr>
          <w:p w14:paraId="7545EB46" w14:textId="77777777" w:rsidR="00EE2393" w:rsidRPr="005934A1" w:rsidRDefault="00EE2393" w:rsidP="00F05000">
            <w:pPr>
              <w:spacing w:before="120"/>
              <w:ind w:left="340"/>
              <w:rPr>
                <w:sz w:val="20"/>
                <w:szCs w:val="20"/>
              </w:rPr>
            </w:pPr>
            <w:r w:rsidRPr="005934A1">
              <w:rPr>
                <w:sz w:val="20"/>
                <w:szCs w:val="20"/>
              </w:rPr>
              <w:t>Juvenile Products Manufacturers Association (US)</w:t>
            </w:r>
          </w:p>
        </w:tc>
        <w:tc>
          <w:tcPr>
            <w:tcW w:w="3273" w:type="pct"/>
            <w:shd w:val="clear" w:color="auto" w:fill="auto"/>
            <w:vAlign w:val="bottom"/>
          </w:tcPr>
          <w:p w14:paraId="165FE2EE" w14:textId="714EC520" w:rsidR="00EE2393" w:rsidRPr="005934A1" w:rsidRDefault="00EE2393" w:rsidP="00F05000">
            <w:pPr>
              <w:spacing w:before="120"/>
              <w:rPr>
                <w:rFonts w:asciiTheme="minorHAnsi" w:hAnsiTheme="minorHAnsi" w:cstheme="minorHAnsi"/>
                <w:sz w:val="20"/>
                <w:szCs w:val="20"/>
              </w:rPr>
            </w:pPr>
            <w:r w:rsidRPr="005934A1">
              <w:rPr>
                <w:rFonts w:asciiTheme="minorHAnsi" w:hAnsiTheme="minorHAnsi" w:cstheme="minorHAnsi"/>
                <w:sz w:val="20"/>
                <w:szCs w:val="20"/>
              </w:rPr>
              <w:t>North American industry association for baby and children's products</w:t>
            </w:r>
          </w:p>
        </w:tc>
      </w:tr>
      <w:tr w:rsidR="00EE2393" w:rsidRPr="005934A1" w14:paraId="3BB557E5" w14:textId="77777777" w:rsidTr="00B740AF">
        <w:trPr>
          <w:trHeight w:val="330"/>
        </w:trPr>
        <w:tc>
          <w:tcPr>
            <w:tcW w:w="1727" w:type="pct"/>
            <w:vAlign w:val="bottom"/>
          </w:tcPr>
          <w:p w14:paraId="22F800C2" w14:textId="77777777" w:rsidR="00EE2393" w:rsidRPr="005934A1" w:rsidRDefault="00EE2393" w:rsidP="00F05000">
            <w:pPr>
              <w:spacing w:before="120"/>
              <w:ind w:left="340"/>
              <w:rPr>
                <w:sz w:val="20"/>
                <w:szCs w:val="20"/>
              </w:rPr>
            </w:pPr>
            <w:r w:rsidRPr="005934A1">
              <w:rPr>
                <w:sz w:val="20"/>
                <w:szCs w:val="20"/>
              </w:rPr>
              <w:t>National Retail Association</w:t>
            </w:r>
          </w:p>
        </w:tc>
        <w:tc>
          <w:tcPr>
            <w:tcW w:w="3273" w:type="pct"/>
            <w:shd w:val="clear" w:color="auto" w:fill="auto"/>
            <w:vAlign w:val="bottom"/>
          </w:tcPr>
          <w:p w14:paraId="1F41D5D7" w14:textId="2D48ABC3" w:rsidR="00EE2393" w:rsidRPr="005934A1" w:rsidRDefault="004B1B8F" w:rsidP="00F05000">
            <w:pPr>
              <w:spacing w:before="120"/>
              <w:rPr>
                <w:rFonts w:asciiTheme="minorHAnsi" w:hAnsiTheme="minorHAnsi" w:cstheme="minorHAnsi"/>
                <w:sz w:val="20"/>
                <w:szCs w:val="20"/>
              </w:rPr>
            </w:pPr>
            <w:r>
              <w:rPr>
                <w:rFonts w:asciiTheme="minorHAnsi" w:hAnsiTheme="minorHAnsi" w:cstheme="minorHAnsi"/>
                <w:sz w:val="20"/>
                <w:szCs w:val="20"/>
              </w:rPr>
              <w:t>Not-for-profit</w:t>
            </w:r>
            <w:r w:rsidRPr="005934A1">
              <w:rPr>
                <w:rFonts w:asciiTheme="minorHAnsi" w:hAnsiTheme="minorHAnsi" w:cstheme="minorHAnsi"/>
                <w:sz w:val="20"/>
                <w:szCs w:val="20"/>
              </w:rPr>
              <w:t xml:space="preserve"> </w:t>
            </w:r>
            <w:r w:rsidR="00EE2393" w:rsidRPr="005934A1">
              <w:rPr>
                <w:rFonts w:asciiTheme="minorHAnsi" w:hAnsiTheme="minorHAnsi" w:cstheme="minorHAnsi"/>
                <w:sz w:val="20"/>
                <w:szCs w:val="20"/>
              </w:rPr>
              <w:t>organisation representing the interests of retailers across Australia</w:t>
            </w:r>
          </w:p>
        </w:tc>
      </w:tr>
      <w:tr w:rsidR="004E534C" w:rsidRPr="005934A1" w14:paraId="70C7A6F0" w14:textId="77777777" w:rsidTr="00B740AF">
        <w:trPr>
          <w:trHeight w:val="330"/>
        </w:trPr>
        <w:tc>
          <w:tcPr>
            <w:tcW w:w="1727" w:type="pct"/>
            <w:shd w:val="clear" w:color="auto" w:fill="D5D6D2" w:themeFill="background2"/>
            <w:vAlign w:val="bottom"/>
          </w:tcPr>
          <w:p w14:paraId="3553C8A3" w14:textId="77777777" w:rsidR="004E534C" w:rsidRPr="00672EA7" w:rsidRDefault="004E534C" w:rsidP="00F05000">
            <w:pPr>
              <w:spacing w:before="120"/>
              <w:rPr>
                <w:rFonts w:asciiTheme="minorHAnsi" w:hAnsiTheme="minorHAnsi" w:cstheme="minorHAnsi"/>
                <w:b/>
                <w:bCs/>
                <w:sz w:val="20"/>
                <w:szCs w:val="20"/>
              </w:rPr>
            </w:pPr>
            <w:r w:rsidRPr="00672EA7">
              <w:rPr>
                <w:b/>
                <w:bCs/>
                <w:sz w:val="20"/>
                <w:szCs w:val="20"/>
              </w:rPr>
              <w:t>Technical Experts</w:t>
            </w:r>
          </w:p>
        </w:tc>
        <w:tc>
          <w:tcPr>
            <w:tcW w:w="3273" w:type="pct"/>
            <w:shd w:val="clear" w:color="auto" w:fill="D5D6D2" w:themeFill="background2"/>
            <w:vAlign w:val="bottom"/>
          </w:tcPr>
          <w:p w14:paraId="6A44E9BB" w14:textId="77777777" w:rsidR="004E534C" w:rsidRPr="005934A1" w:rsidRDefault="004E534C" w:rsidP="00F05000">
            <w:pPr>
              <w:spacing w:before="120"/>
              <w:rPr>
                <w:rFonts w:asciiTheme="minorHAnsi" w:hAnsiTheme="minorHAnsi" w:cstheme="minorHAnsi"/>
                <w:sz w:val="20"/>
                <w:szCs w:val="20"/>
              </w:rPr>
            </w:pPr>
          </w:p>
        </w:tc>
      </w:tr>
      <w:tr w:rsidR="00EE2393" w:rsidRPr="005934A1" w14:paraId="08207DEF" w14:textId="77777777" w:rsidTr="00B740AF">
        <w:trPr>
          <w:trHeight w:val="330"/>
        </w:trPr>
        <w:tc>
          <w:tcPr>
            <w:tcW w:w="1727" w:type="pct"/>
            <w:vAlign w:val="bottom"/>
          </w:tcPr>
          <w:p w14:paraId="5E093A38" w14:textId="77777777" w:rsidR="00EE2393" w:rsidRPr="005934A1" w:rsidRDefault="00EE2393" w:rsidP="00F05000">
            <w:pPr>
              <w:spacing w:before="120"/>
              <w:ind w:left="340"/>
              <w:rPr>
                <w:sz w:val="20"/>
                <w:szCs w:val="20"/>
              </w:rPr>
            </w:pPr>
            <w:r w:rsidRPr="005934A1">
              <w:rPr>
                <w:sz w:val="20"/>
                <w:szCs w:val="20"/>
              </w:rPr>
              <w:t>Furntech-AFRDI</w:t>
            </w:r>
          </w:p>
        </w:tc>
        <w:tc>
          <w:tcPr>
            <w:tcW w:w="3273" w:type="pct"/>
            <w:shd w:val="clear" w:color="auto" w:fill="auto"/>
            <w:vAlign w:val="bottom"/>
          </w:tcPr>
          <w:p w14:paraId="230B6B4F" w14:textId="77F877F1" w:rsidR="00EE2393" w:rsidRPr="005934A1" w:rsidRDefault="00EE2393" w:rsidP="00F05000">
            <w:pPr>
              <w:spacing w:before="120"/>
              <w:rPr>
                <w:rFonts w:asciiTheme="minorHAnsi" w:hAnsiTheme="minorHAnsi" w:cstheme="minorHAnsi"/>
                <w:sz w:val="20"/>
                <w:szCs w:val="20"/>
              </w:rPr>
            </w:pPr>
            <w:r w:rsidRPr="005934A1">
              <w:rPr>
                <w:sz w:val="20"/>
                <w:szCs w:val="20"/>
              </w:rPr>
              <w:t xml:space="preserve">Independent </w:t>
            </w:r>
            <w:r w:rsidR="004B1B8F">
              <w:rPr>
                <w:sz w:val="20"/>
                <w:szCs w:val="20"/>
              </w:rPr>
              <w:t>not-for-profit</w:t>
            </w:r>
            <w:r w:rsidR="004B1B8F" w:rsidRPr="005934A1">
              <w:rPr>
                <w:sz w:val="20"/>
                <w:szCs w:val="20"/>
              </w:rPr>
              <w:t xml:space="preserve"> </w:t>
            </w:r>
            <w:r w:rsidRPr="005934A1">
              <w:rPr>
                <w:sz w:val="20"/>
                <w:szCs w:val="20"/>
              </w:rPr>
              <w:t>technical organisation providing standards, testing, product certification and research for buyers and sellers of furniture</w:t>
            </w:r>
          </w:p>
        </w:tc>
      </w:tr>
      <w:tr w:rsidR="00D60F59" w:rsidRPr="005934A1" w14:paraId="4D1BDD18" w14:textId="77777777" w:rsidTr="00B740AF">
        <w:trPr>
          <w:trHeight w:val="330"/>
        </w:trPr>
        <w:tc>
          <w:tcPr>
            <w:tcW w:w="1727" w:type="pct"/>
            <w:vAlign w:val="bottom"/>
          </w:tcPr>
          <w:p w14:paraId="3C57AF7C" w14:textId="7FE41B36" w:rsidR="00D60F59" w:rsidRPr="005934A1" w:rsidRDefault="00D60F59">
            <w:pPr>
              <w:spacing w:before="120"/>
              <w:ind w:left="340"/>
              <w:rPr>
                <w:sz w:val="20"/>
                <w:szCs w:val="20"/>
              </w:rPr>
            </w:pPr>
            <w:r>
              <w:rPr>
                <w:sz w:val="20"/>
                <w:szCs w:val="20"/>
              </w:rPr>
              <w:t>CertAssure</w:t>
            </w:r>
          </w:p>
        </w:tc>
        <w:tc>
          <w:tcPr>
            <w:tcW w:w="3273" w:type="pct"/>
            <w:shd w:val="clear" w:color="auto" w:fill="auto"/>
            <w:vAlign w:val="bottom"/>
          </w:tcPr>
          <w:p w14:paraId="0AF3FC1F" w14:textId="121E5BAE" w:rsidR="00D60F59" w:rsidRPr="005934A1" w:rsidRDefault="00D60F59">
            <w:pPr>
              <w:spacing w:before="120"/>
              <w:rPr>
                <w:sz w:val="20"/>
                <w:szCs w:val="20"/>
              </w:rPr>
            </w:pPr>
            <w:r w:rsidRPr="00D60F59">
              <w:rPr>
                <w:sz w:val="20"/>
                <w:szCs w:val="20"/>
              </w:rPr>
              <w:t>CertAssure provides certification and assurance services for domestic and commercial products</w:t>
            </w:r>
          </w:p>
        </w:tc>
      </w:tr>
      <w:tr w:rsidR="00EE2393" w:rsidRPr="005934A1" w14:paraId="2EA439A6" w14:textId="77777777" w:rsidTr="00B740AF">
        <w:trPr>
          <w:trHeight w:val="330"/>
        </w:trPr>
        <w:tc>
          <w:tcPr>
            <w:tcW w:w="1727" w:type="pct"/>
            <w:vAlign w:val="bottom"/>
          </w:tcPr>
          <w:p w14:paraId="618BF132" w14:textId="77777777" w:rsidR="00EE2393" w:rsidRPr="005934A1" w:rsidRDefault="00EE2393" w:rsidP="00F05000">
            <w:pPr>
              <w:spacing w:before="120"/>
              <w:ind w:left="340"/>
              <w:rPr>
                <w:sz w:val="20"/>
                <w:szCs w:val="20"/>
              </w:rPr>
            </w:pPr>
            <w:r w:rsidRPr="005934A1">
              <w:rPr>
                <w:sz w:val="20"/>
                <w:szCs w:val="20"/>
              </w:rPr>
              <w:t>Shaun McGrath</w:t>
            </w:r>
          </w:p>
        </w:tc>
        <w:tc>
          <w:tcPr>
            <w:tcW w:w="3273" w:type="pct"/>
            <w:shd w:val="clear" w:color="auto" w:fill="auto"/>
            <w:vAlign w:val="bottom"/>
          </w:tcPr>
          <w:p w14:paraId="50B0EDEB" w14:textId="31AFD0E4" w:rsidR="00EE2393" w:rsidRPr="005934A1" w:rsidRDefault="00EE2393" w:rsidP="00F05000">
            <w:pPr>
              <w:spacing w:before="120"/>
              <w:rPr>
                <w:rFonts w:asciiTheme="minorHAnsi" w:hAnsiTheme="minorHAnsi" w:cstheme="minorHAnsi"/>
                <w:sz w:val="20"/>
                <w:szCs w:val="20"/>
              </w:rPr>
            </w:pPr>
            <w:r w:rsidRPr="005934A1">
              <w:rPr>
                <w:rFonts w:asciiTheme="minorHAnsi" w:hAnsiTheme="minorHAnsi" w:cstheme="minorHAnsi"/>
                <w:sz w:val="20"/>
                <w:szCs w:val="20"/>
              </w:rPr>
              <w:t>Former Risk and Compliance advisor within the retailer and supplier network</w:t>
            </w:r>
          </w:p>
        </w:tc>
      </w:tr>
      <w:tr w:rsidR="00EE2393" w:rsidRPr="005934A1" w14:paraId="7A46C87F" w14:textId="77777777" w:rsidTr="00B740AF">
        <w:trPr>
          <w:trHeight w:val="330"/>
        </w:trPr>
        <w:tc>
          <w:tcPr>
            <w:tcW w:w="1727" w:type="pct"/>
            <w:vAlign w:val="bottom"/>
          </w:tcPr>
          <w:p w14:paraId="6D4450A5" w14:textId="77777777" w:rsidR="00EE2393" w:rsidRPr="005934A1" w:rsidRDefault="00EE2393" w:rsidP="00F05000">
            <w:pPr>
              <w:spacing w:before="120"/>
              <w:ind w:left="340"/>
              <w:rPr>
                <w:sz w:val="20"/>
                <w:szCs w:val="20"/>
              </w:rPr>
            </w:pPr>
            <w:r>
              <w:rPr>
                <w:sz w:val="20"/>
                <w:szCs w:val="20"/>
              </w:rPr>
              <w:t>Standards Australia</w:t>
            </w:r>
          </w:p>
        </w:tc>
        <w:tc>
          <w:tcPr>
            <w:tcW w:w="3273" w:type="pct"/>
            <w:shd w:val="clear" w:color="auto" w:fill="auto"/>
            <w:vAlign w:val="bottom"/>
          </w:tcPr>
          <w:p w14:paraId="70D6C4BF" w14:textId="40ED9AE3" w:rsidR="00EE2393" w:rsidRPr="005934A1" w:rsidRDefault="00EE2393" w:rsidP="00F05000">
            <w:pPr>
              <w:spacing w:before="120"/>
              <w:rPr>
                <w:rFonts w:asciiTheme="minorHAnsi" w:hAnsiTheme="minorHAnsi" w:cstheme="minorHAnsi"/>
                <w:sz w:val="20"/>
                <w:szCs w:val="20"/>
              </w:rPr>
            </w:pPr>
            <w:r>
              <w:rPr>
                <w:rFonts w:asciiTheme="minorHAnsi" w:hAnsiTheme="minorHAnsi" w:cstheme="minorHAnsi"/>
                <w:sz w:val="20"/>
                <w:szCs w:val="20"/>
              </w:rPr>
              <w:t>Independent, non-governmental, not-for-profit standards organisation</w:t>
            </w:r>
          </w:p>
        </w:tc>
      </w:tr>
      <w:tr w:rsidR="00EE2393" w:rsidRPr="005934A1" w14:paraId="0E7D414E" w14:textId="77777777" w:rsidTr="00B740AF">
        <w:trPr>
          <w:trHeight w:val="330"/>
        </w:trPr>
        <w:tc>
          <w:tcPr>
            <w:tcW w:w="1727" w:type="pct"/>
            <w:vAlign w:val="bottom"/>
          </w:tcPr>
          <w:p w14:paraId="0886ACBF" w14:textId="77777777" w:rsidR="00EE2393" w:rsidRPr="005934A1" w:rsidRDefault="00EE2393" w:rsidP="00F05000">
            <w:pPr>
              <w:spacing w:before="120"/>
              <w:ind w:left="340"/>
              <w:rPr>
                <w:sz w:val="20"/>
                <w:szCs w:val="20"/>
              </w:rPr>
            </w:pPr>
            <w:r w:rsidRPr="005934A1">
              <w:rPr>
                <w:sz w:val="20"/>
                <w:szCs w:val="20"/>
              </w:rPr>
              <w:t>UL LLC</w:t>
            </w:r>
          </w:p>
        </w:tc>
        <w:tc>
          <w:tcPr>
            <w:tcW w:w="3273" w:type="pct"/>
            <w:shd w:val="clear" w:color="auto" w:fill="auto"/>
            <w:vAlign w:val="bottom"/>
          </w:tcPr>
          <w:p w14:paraId="319DD190" w14:textId="765BCB0E" w:rsidR="00EE2393" w:rsidRPr="005934A1" w:rsidRDefault="00EE2393" w:rsidP="00F05000">
            <w:pPr>
              <w:spacing w:before="120"/>
              <w:rPr>
                <w:rFonts w:asciiTheme="minorHAnsi" w:hAnsiTheme="minorHAnsi" w:cstheme="minorHAnsi"/>
                <w:sz w:val="20"/>
                <w:szCs w:val="20"/>
              </w:rPr>
            </w:pPr>
            <w:r w:rsidRPr="005934A1">
              <w:rPr>
                <w:rFonts w:asciiTheme="minorHAnsi" w:hAnsiTheme="minorHAnsi" w:cstheme="minorHAnsi"/>
                <w:sz w:val="20"/>
                <w:szCs w:val="20"/>
              </w:rPr>
              <w:t>US-based global safety certification company that provides safety, research and commercial services</w:t>
            </w:r>
          </w:p>
        </w:tc>
      </w:tr>
      <w:tr w:rsidR="004E534C" w:rsidRPr="005934A1" w14:paraId="50361E59" w14:textId="77777777" w:rsidTr="00B740AF">
        <w:trPr>
          <w:trHeight w:val="330"/>
        </w:trPr>
        <w:tc>
          <w:tcPr>
            <w:tcW w:w="1727" w:type="pct"/>
            <w:shd w:val="clear" w:color="auto" w:fill="D5D6D2" w:themeFill="background2"/>
            <w:vAlign w:val="bottom"/>
          </w:tcPr>
          <w:p w14:paraId="205853B0" w14:textId="3A89DB10" w:rsidR="004E534C" w:rsidRPr="00672EA7" w:rsidRDefault="004E534C" w:rsidP="00F05000">
            <w:pPr>
              <w:spacing w:before="120"/>
              <w:rPr>
                <w:rFonts w:asciiTheme="minorHAnsi" w:hAnsiTheme="minorHAnsi" w:cstheme="minorHAnsi"/>
                <w:b/>
                <w:bCs/>
                <w:sz w:val="20"/>
                <w:szCs w:val="20"/>
              </w:rPr>
            </w:pPr>
            <w:r w:rsidRPr="00672EA7">
              <w:rPr>
                <w:b/>
                <w:bCs/>
                <w:sz w:val="20"/>
                <w:szCs w:val="20"/>
              </w:rPr>
              <w:t xml:space="preserve">Medical </w:t>
            </w:r>
            <w:r w:rsidR="004B1B8F">
              <w:rPr>
                <w:b/>
                <w:bCs/>
                <w:sz w:val="20"/>
                <w:szCs w:val="20"/>
              </w:rPr>
              <w:t>Industry</w:t>
            </w:r>
          </w:p>
        </w:tc>
        <w:tc>
          <w:tcPr>
            <w:tcW w:w="3273" w:type="pct"/>
            <w:shd w:val="clear" w:color="auto" w:fill="D5D6D2" w:themeFill="background2"/>
            <w:vAlign w:val="bottom"/>
          </w:tcPr>
          <w:p w14:paraId="778F517D" w14:textId="77777777" w:rsidR="004E534C" w:rsidRPr="005934A1" w:rsidRDefault="004E534C" w:rsidP="00F05000">
            <w:pPr>
              <w:spacing w:before="120"/>
              <w:rPr>
                <w:rFonts w:asciiTheme="minorHAnsi" w:hAnsiTheme="minorHAnsi" w:cstheme="minorHAnsi"/>
                <w:sz w:val="20"/>
                <w:szCs w:val="20"/>
              </w:rPr>
            </w:pPr>
          </w:p>
        </w:tc>
      </w:tr>
      <w:tr w:rsidR="00723921" w:rsidRPr="005934A1" w14:paraId="607B745D" w14:textId="77777777" w:rsidTr="00B740AF">
        <w:trPr>
          <w:trHeight w:val="330"/>
        </w:trPr>
        <w:tc>
          <w:tcPr>
            <w:tcW w:w="1727" w:type="pct"/>
            <w:vAlign w:val="bottom"/>
          </w:tcPr>
          <w:p w14:paraId="43093A7E" w14:textId="77777777" w:rsidR="00723921" w:rsidRPr="005934A1" w:rsidRDefault="00723921" w:rsidP="00F05000">
            <w:pPr>
              <w:spacing w:before="120"/>
              <w:ind w:left="340"/>
              <w:rPr>
                <w:sz w:val="20"/>
                <w:szCs w:val="20"/>
              </w:rPr>
            </w:pPr>
            <w:r>
              <w:rPr>
                <w:sz w:val="20"/>
                <w:szCs w:val="20"/>
              </w:rPr>
              <w:t>Australian Medical Association</w:t>
            </w:r>
          </w:p>
        </w:tc>
        <w:tc>
          <w:tcPr>
            <w:tcW w:w="3273" w:type="pct"/>
            <w:shd w:val="clear" w:color="auto" w:fill="auto"/>
            <w:vAlign w:val="bottom"/>
          </w:tcPr>
          <w:p w14:paraId="5415B988" w14:textId="55A5BBC5" w:rsidR="00723921" w:rsidRPr="005934A1" w:rsidRDefault="00723921" w:rsidP="00F05000">
            <w:pPr>
              <w:spacing w:before="120"/>
              <w:rPr>
                <w:rFonts w:asciiTheme="minorHAnsi" w:hAnsiTheme="minorHAnsi" w:cstheme="minorHAnsi"/>
                <w:sz w:val="20"/>
                <w:szCs w:val="20"/>
              </w:rPr>
            </w:pPr>
            <w:r>
              <w:rPr>
                <w:rFonts w:asciiTheme="minorHAnsi" w:hAnsiTheme="minorHAnsi" w:cstheme="minorHAnsi"/>
                <w:sz w:val="20"/>
                <w:szCs w:val="20"/>
              </w:rPr>
              <w:t>T</w:t>
            </w:r>
            <w:r w:rsidRPr="002E4951">
              <w:rPr>
                <w:rFonts w:asciiTheme="minorHAnsi" w:hAnsiTheme="minorHAnsi" w:cstheme="minorHAnsi"/>
                <w:sz w:val="20"/>
                <w:szCs w:val="20"/>
              </w:rPr>
              <w:t>he peak professional body for doctors in Australia</w:t>
            </w:r>
          </w:p>
        </w:tc>
      </w:tr>
      <w:tr w:rsidR="00723921" w:rsidRPr="005934A1" w14:paraId="5599DFFB" w14:textId="77777777" w:rsidTr="00B740AF">
        <w:trPr>
          <w:trHeight w:val="330"/>
        </w:trPr>
        <w:tc>
          <w:tcPr>
            <w:tcW w:w="1727" w:type="pct"/>
            <w:vAlign w:val="bottom"/>
          </w:tcPr>
          <w:p w14:paraId="7B2C0B71" w14:textId="77777777" w:rsidR="00723921" w:rsidRPr="005934A1" w:rsidRDefault="00723921" w:rsidP="00F05000">
            <w:pPr>
              <w:spacing w:before="120"/>
              <w:ind w:left="340"/>
              <w:rPr>
                <w:sz w:val="20"/>
                <w:szCs w:val="20"/>
              </w:rPr>
            </w:pPr>
            <w:r w:rsidRPr="005934A1">
              <w:rPr>
                <w:sz w:val="20"/>
                <w:szCs w:val="20"/>
              </w:rPr>
              <w:t>Australian Paediatric Surveillance Unit</w:t>
            </w:r>
          </w:p>
        </w:tc>
        <w:tc>
          <w:tcPr>
            <w:tcW w:w="3273" w:type="pct"/>
            <w:shd w:val="clear" w:color="auto" w:fill="auto"/>
            <w:vAlign w:val="bottom"/>
          </w:tcPr>
          <w:p w14:paraId="63BFF153" w14:textId="52214EEE" w:rsidR="00723921" w:rsidRPr="005934A1" w:rsidRDefault="00723921" w:rsidP="00F05000">
            <w:pPr>
              <w:spacing w:before="120"/>
              <w:rPr>
                <w:rFonts w:asciiTheme="minorHAnsi" w:hAnsiTheme="minorHAnsi" w:cstheme="minorHAnsi"/>
                <w:sz w:val="20"/>
                <w:szCs w:val="20"/>
              </w:rPr>
            </w:pPr>
            <w:r w:rsidRPr="005934A1">
              <w:rPr>
                <w:rFonts w:asciiTheme="minorHAnsi" w:hAnsiTheme="minorHAnsi" w:cstheme="minorHAnsi"/>
                <w:sz w:val="20"/>
                <w:szCs w:val="20"/>
              </w:rPr>
              <w:t>National resource facilitating active surveillance of uncommon childhood diseases, complications of common diseases or adverse effects of treatment</w:t>
            </w:r>
          </w:p>
        </w:tc>
      </w:tr>
      <w:tr w:rsidR="00D60F59" w:rsidRPr="005934A1" w14:paraId="0C16B25F" w14:textId="77777777" w:rsidTr="00B740AF">
        <w:trPr>
          <w:trHeight w:val="330"/>
        </w:trPr>
        <w:tc>
          <w:tcPr>
            <w:tcW w:w="1727" w:type="pct"/>
            <w:vAlign w:val="bottom"/>
          </w:tcPr>
          <w:p w14:paraId="263B5CBD" w14:textId="319C6ED9" w:rsidR="00D60F59" w:rsidRPr="005934A1" w:rsidRDefault="00D60F59">
            <w:pPr>
              <w:spacing w:before="120"/>
              <w:ind w:left="340"/>
              <w:rPr>
                <w:sz w:val="20"/>
                <w:szCs w:val="20"/>
              </w:rPr>
            </w:pPr>
            <w:r>
              <w:rPr>
                <w:sz w:val="20"/>
                <w:szCs w:val="20"/>
              </w:rPr>
              <w:t>Children’s Health Queensland</w:t>
            </w:r>
          </w:p>
        </w:tc>
        <w:tc>
          <w:tcPr>
            <w:tcW w:w="3273" w:type="pct"/>
            <w:shd w:val="clear" w:color="auto" w:fill="auto"/>
            <w:vAlign w:val="bottom"/>
          </w:tcPr>
          <w:p w14:paraId="4E6176C8" w14:textId="62DDDC8C" w:rsidR="00D60F59" w:rsidRPr="005934A1" w:rsidRDefault="00D60F59">
            <w:pPr>
              <w:spacing w:before="120"/>
              <w:rPr>
                <w:rFonts w:asciiTheme="minorHAnsi" w:hAnsiTheme="minorHAnsi" w:cstheme="minorHAnsi"/>
                <w:sz w:val="20"/>
                <w:szCs w:val="20"/>
              </w:rPr>
            </w:pPr>
            <w:r>
              <w:rPr>
                <w:rFonts w:asciiTheme="minorHAnsi" w:hAnsiTheme="minorHAnsi" w:cstheme="minorHAnsi"/>
                <w:sz w:val="20"/>
                <w:szCs w:val="20"/>
              </w:rPr>
              <w:t>A</w:t>
            </w:r>
            <w:r w:rsidRPr="00D60F59">
              <w:rPr>
                <w:rFonts w:asciiTheme="minorHAnsi" w:hAnsiTheme="minorHAnsi" w:cstheme="minorHAnsi"/>
                <w:sz w:val="20"/>
                <w:szCs w:val="20"/>
              </w:rPr>
              <w:t xml:space="preserve"> specialist statewide hospital and health service dedicated to providing the best possible family-centred health care for every child and young person in Queensland</w:t>
            </w:r>
          </w:p>
        </w:tc>
      </w:tr>
      <w:tr w:rsidR="00723921" w:rsidRPr="005934A1" w14:paraId="594476E4" w14:textId="77777777" w:rsidTr="00B740AF">
        <w:trPr>
          <w:trHeight w:val="330"/>
        </w:trPr>
        <w:tc>
          <w:tcPr>
            <w:tcW w:w="1727" w:type="pct"/>
            <w:vAlign w:val="bottom"/>
          </w:tcPr>
          <w:p w14:paraId="0B32906E" w14:textId="77777777" w:rsidR="00723921" w:rsidRDefault="00723921" w:rsidP="00F05000">
            <w:pPr>
              <w:spacing w:before="120"/>
              <w:ind w:left="340"/>
              <w:rPr>
                <w:sz w:val="20"/>
                <w:szCs w:val="20"/>
              </w:rPr>
            </w:pPr>
            <w:r>
              <w:rPr>
                <w:sz w:val="20"/>
                <w:szCs w:val="20"/>
              </w:rPr>
              <w:t>Health Canada</w:t>
            </w:r>
          </w:p>
        </w:tc>
        <w:tc>
          <w:tcPr>
            <w:tcW w:w="3273" w:type="pct"/>
            <w:shd w:val="clear" w:color="auto" w:fill="auto"/>
            <w:vAlign w:val="bottom"/>
          </w:tcPr>
          <w:p w14:paraId="2DDB832F" w14:textId="7462C9C3" w:rsidR="00723921" w:rsidRDefault="00723921" w:rsidP="00F05000">
            <w:pPr>
              <w:spacing w:before="120"/>
              <w:rPr>
                <w:rFonts w:asciiTheme="minorHAnsi" w:hAnsiTheme="minorHAnsi" w:cstheme="minorHAnsi"/>
                <w:sz w:val="20"/>
                <w:szCs w:val="20"/>
              </w:rPr>
            </w:pPr>
            <w:r>
              <w:rPr>
                <w:rFonts w:asciiTheme="minorHAnsi" w:hAnsiTheme="minorHAnsi" w:cstheme="minorHAnsi"/>
                <w:sz w:val="20"/>
                <w:szCs w:val="20"/>
              </w:rPr>
              <w:t xml:space="preserve">Federal institution </w:t>
            </w:r>
            <w:r w:rsidRPr="002E4951">
              <w:rPr>
                <w:rFonts w:asciiTheme="minorHAnsi" w:hAnsiTheme="minorHAnsi" w:cstheme="minorHAnsi"/>
                <w:sz w:val="20"/>
                <w:szCs w:val="20"/>
              </w:rPr>
              <w:t>responsible for helping Canadians maintain and improve their health</w:t>
            </w:r>
          </w:p>
        </w:tc>
      </w:tr>
      <w:tr w:rsidR="00723921" w:rsidRPr="005934A1" w14:paraId="52377996" w14:textId="77777777" w:rsidTr="00B740AF">
        <w:trPr>
          <w:trHeight w:val="330"/>
        </w:trPr>
        <w:tc>
          <w:tcPr>
            <w:tcW w:w="1727" w:type="pct"/>
            <w:vAlign w:val="bottom"/>
          </w:tcPr>
          <w:p w14:paraId="3291FA58" w14:textId="77777777" w:rsidR="00723921" w:rsidRPr="005934A1" w:rsidRDefault="00723921" w:rsidP="00F05000">
            <w:pPr>
              <w:spacing w:before="120"/>
              <w:ind w:left="340"/>
              <w:rPr>
                <w:sz w:val="20"/>
                <w:szCs w:val="20"/>
              </w:rPr>
            </w:pPr>
            <w:r w:rsidRPr="005934A1">
              <w:rPr>
                <w:sz w:val="20"/>
                <w:szCs w:val="20"/>
              </w:rPr>
              <w:t>Royal Australasian College of Surgeons</w:t>
            </w:r>
          </w:p>
        </w:tc>
        <w:tc>
          <w:tcPr>
            <w:tcW w:w="3273" w:type="pct"/>
            <w:shd w:val="clear" w:color="auto" w:fill="auto"/>
            <w:vAlign w:val="bottom"/>
          </w:tcPr>
          <w:p w14:paraId="253DE2EE" w14:textId="0CE3350E" w:rsidR="00723921" w:rsidRPr="005934A1" w:rsidRDefault="004B1B8F" w:rsidP="00F05000">
            <w:pPr>
              <w:spacing w:before="120"/>
              <w:rPr>
                <w:rFonts w:asciiTheme="minorHAnsi" w:hAnsiTheme="minorHAnsi" w:cstheme="minorHAnsi"/>
                <w:sz w:val="20"/>
                <w:szCs w:val="20"/>
              </w:rPr>
            </w:pPr>
            <w:r>
              <w:rPr>
                <w:rFonts w:asciiTheme="minorHAnsi" w:hAnsiTheme="minorHAnsi" w:cstheme="minorHAnsi"/>
                <w:sz w:val="20"/>
                <w:szCs w:val="20"/>
              </w:rPr>
              <w:t>Not-for-profit</w:t>
            </w:r>
            <w:r w:rsidRPr="005934A1">
              <w:rPr>
                <w:rFonts w:asciiTheme="minorHAnsi" w:hAnsiTheme="minorHAnsi" w:cstheme="minorHAnsi"/>
                <w:sz w:val="20"/>
                <w:szCs w:val="20"/>
              </w:rPr>
              <w:t xml:space="preserve"> </w:t>
            </w:r>
            <w:r w:rsidR="00723921" w:rsidRPr="005934A1">
              <w:rPr>
                <w:rFonts w:asciiTheme="minorHAnsi" w:hAnsiTheme="minorHAnsi" w:cstheme="minorHAnsi"/>
                <w:sz w:val="20"/>
                <w:szCs w:val="20"/>
              </w:rPr>
              <w:t>representing the interests of surgeons in Australia and New Zealand. Advocate for surgical standards, professionalism, and surgical education.</w:t>
            </w:r>
          </w:p>
        </w:tc>
      </w:tr>
      <w:tr w:rsidR="00723921" w:rsidRPr="005934A1" w14:paraId="2A54F7C0" w14:textId="77777777" w:rsidTr="00B740AF">
        <w:trPr>
          <w:trHeight w:val="330"/>
        </w:trPr>
        <w:tc>
          <w:tcPr>
            <w:tcW w:w="1727" w:type="pct"/>
            <w:vAlign w:val="bottom"/>
          </w:tcPr>
          <w:p w14:paraId="35404104" w14:textId="77777777" w:rsidR="00723921" w:rsidRPr="005934A1" w:rsidRDefault="00723921" w:rsidP="00F05000">
            <w:pPr>
              <w:spacing w:before="120"/>
              <w:ind w:left="340"/>
              <w:rPr>
                <w:sz w:val="20"/>
                <w:szCs w:val="20"/>
              </w:rPr>
            </w:pPr>
            <w:r w:rsidRPr="005934A1">
              <w:rPr>
                <w:sz w:val="20"/>
                <w:szCs w:val="20"/>
              </w:rPr>
              <w:t>Sydney Children’s Hospitals Network</w:t>
            </w:r>
          </w:p>
        </w:tc>
        <w:tc>
          <w:tcPr>
            <w:tcW w:w="3273" w:type="pct"/>
            <w:shd w:val="clear" w:color="auto" w:fill="auto"/>
            <w:vAlign w:val="bottom"/>
          </w:tcPr>
          <w:p w14:paraId="7D0B01E7" w14:textId="03770D44" w:rsidR="00723921" w:rsidRPr="005934A1" w:rsidRDefault="00723921" w:rsidP="00F05000">
            <w:pPr>
              <w:spacing w:before="120"/>
              <w:rPr>
                <w:rFonts w:asciiTheme="minorHAnsi" w:hAnsiTheme="minorHAnsi" w:cstheme="minorHAnsi"/>
                <w:sz w:val="20"/>
                <w:szCs w:val="20"/>
              </w:rPr>
            </w:pPr>
            <w:r w:rsidRPr="005934A1">
              <w:rPr>
                <w:rFonts w:asciiTheme="minorHAnsi" w:hAnsiTheme="minorHAnsi" w:cstheme="minorHAnsi"/>
                <w:sz w:val="20"/>
                <w:szCs w:val="20"/>
              </w:rPr>
              <w:t>Paediatric health care partnership aiming to improve the health and wellbeing of children through clinical care, research, education and advocacy</w:t>
            </w:r>
          </w:p>
        </w:tc>
      </w:tr>
      <w:tr w:rsidR="004E534C" w:rsidRPr="005934A1" w14:paraId="73D50CA2" w14:textId="77777777" w:rsidTr="00B740AF">
        <w:trPr>
          <w:trHeight w:val="330"/>
        </w:trPr>
        <w:tc>
          <w:tcPr>
            <w:tcW w:w="1727" w:type="pct"/>
            <w:shd w:val="clear" w:color="auto" w:fill="D5D6D2" w:themeFill="background2"/>
            <w:vAlign w:val="bottom"/>
          </w:tcPr>
          <w:p w14:paraId="577CC8B5" w14:textId="77777777" w:rsidR="004E534C" w:rsidRPr="00672EA7" w:rsidRDefault="004E534C" w:rsidP="00F05000">
            <w:pPr>
              <w:spacing w:before="120"/>
              <w:rPr>
                <w:rFonts w:asciiTheme="minorHAnsi" w:hAnsiTheme="minorHAnsi" w:cstheme="minorHAnsi"/>
                <w:b/>
                <w:bCs/>
                <w:sz w:val="20"/>
                <w:szCs w:val="20"/>
              </w:rPr>
            </w:pPr>
            <w:r w:rsidRPr="00672EA7">
              <w:rPr>
                <w:b/>
                <w:bCs/>
                <w:sz w:val="20"/>
                <w:szCs w:val="20"/>
              </w:rPr>
              <w:t>Manufacturers/Retailers</w:t>
            </w:r>
          </w:p>
        </w:tc>
        <w:tc>
          <w:tcPr>
            <w:tcW w:w="3273" w:type="pct"/>
            <w:shd w:val="clear" w:color="auto" w:fill="D5D6D2" w:themeFill="background2"/>
            <w:vAlign w:val="bottom"/>
          </w:tcPr>
          <w:p w14:paraId="692CB97E" w14:textId="77777777" w:rsidR="004E534C" w:rsidRPr="005934A1" w:rsidRDefault="004E534C" w:rsidP="00F05000">
            <w:pPr>
              <w:spacing w:before="120"/>
              <w:rPr>
                <w:rFonts w:asciiTheme="minorHAnsi" w:hAnsiTheme="minorHAnsi" w:cstheme="minorHAnsi"/>
                <w:sz w:val="20"/>
                <w:szCs w:val="20"/>
              </w:rPr>
            </w:pPr>
          </w:p>
        </w:tc>
      </w:tr>
      <w:tr w:rsidR="00723921" w:rsidRPr="005934A1" w14:paraId="39910086" w14:textId="77777777" w:rsidTr="00B740AF">
        <w:trPr>
          <w:trHeight w:val="330"/>
        </w:trPr>
        <w:tc>
          <w:tcPr>
            <w:tcW w:w="1727" w:type="pct"/>
            <w:vAlign w:val="bottom"/>
          </w:tcPr>
          <w:p w14:paraId="0360E005" w14:textId="77777777" w:rsidR="00723921" w:rsidRPr="005934A1" w:rsidRDefault="00723921" w:rsidP="00F05000">
            <w:pPr>
              <w:spacing w:before="120"/>
              <w:ind w:left="340"/>
              <w:rPr>
                <w:sz w:val="20"/>
                <w:szCs w:val="20"/>
              </w:rPr>
            </w:pPr>
            <w:r w:rsidRPr="005934A1">
              <w:rPr>
                <w:sz w:val="20"/>
                <w:szCs w:val="20"/>
              </w:rPr>
              <w:t>Canohm Australia</w:t>
            </w:r>
          </w:p>
        </w:tc>
        <w:tc>
          <w:tcPr>
            <w:tcW w:w="3273" w:type="pct"/>
            <w:shd w:val="clear" w:color="auto" w:fill="auto"/>
            <w:vAlign w:val="bottom"/>
          </w:tcPr>
          <w:p w14:paraId="367ECD26" w14:textId="09449F81" w:rsidR="00723921" w:rsidRPr="005934A1" w:rsidRDefault="00723921" w:rsidP="00F05000">
            <w:pPr>
              <w:spacing w:before="120"/>
              <w:rPr>
                <w:rFonts w:asciiTheme="minorHAnsi" w:hAnsiTheme="minorHAnsi" w:cstheme="minorHAnsi"/>
                <w:sz w:val="20"/>
                <w:szCs w:val="20"/>
              </w:rPr>
            </w:pPr>
            <w:r w:rsidRPr="005934A1">
              <w:rPr>
                <w:rFonts w:asciiTheme="minorHAnsi" w:hAnsiTheme="minorHAnsi" w:cstheme="minorHAnsi"/>
                <w:sz w:val="20"/>
                <w:szCs w:val="20"/>
              </w:rPr>
              <w:t>Australian importer and distributor of audio equipment specialising in mounting solutions</w:t>
            </w:r>
          </w:p>
        </w:tc>
      </w:tr>
      <w:tr w:rsidR="00723921" w:rsidRPr="005934A1" w14:paraId="1C3CFFAC" w14:textId="77777777" w:rsidTr="00B740AF">
        <w:trPr>
          <w:trHeight w:val="330"/>
        </w:trPr>
        <w:tc>
          <w:tcPr>
            <w:tcW w:w="1727" w:type="pct"/>
            <w:vAlign w:val="bottom"/>
          </w:tcPr>
          <w:p w14:paraId="0ACDE6BB" w14:textId="77777777" w:rsidR="00723921" w:rsidRPr="005934A1" w:rsidRDefault="00723921" w:rsidP="00F05000">
            <w:pPr>
              <w:spacing w:before="120"/>
              <w:ind w:left="340"/>
              <w:rPr>
                <w:sz w:val="20"/>
                <w:szCs w:val="20"/>
              </w:rPr>
            </w:pPr>
            <w:r w:rsidRPr="005934A1">
              <w:rPr>
                <w:sz w:val="20"/>
                <w:szCs w:val="20"/>
              </w:rPr>
              <w:t>Carjo Furniture</w:t>
            </w:r>
          </w:p>
        </w:tc>
        <w:tc>
          <w:tcPr>
            <w:tcW w:w="3273" w:type="pct"/>
            <w:shd w:val="clear" w:color="auto" w:fill="auto"/>
            <w:vAlign w:val="bottom"/>
          </w:tcPr>
          <w:p w14:paraId="18194371" w14:textId="28A7DB60" w:rsidR="00723921" w:rsidRPr="005934A1" w:rsidRDefault="00723921" w:rsidP="00F05000">
            <w:pPr>
              <w:spacing w:before="120"/>
              <w:rPr>
                <w:rFonts w:asciiTheme="minorHAnsi" w:hAnsiTheme="minorHAnsi" w:cstheme="minorHAnsi"/>
                <w:sz w:val="20"/>
                <w:szCs w:val="20"/>
              </w:rPr>
            </w:pPr>
            <w:r w:rsidRPr="005934A1">
              <w:rPr>
                <w:rFonts w:asciiTheme="minorHAnsi" w:hAnsiTheme="minorHAnsi" w:cstheme="minorHAnsi"/>
                <w:sz w:val="20"/>
                <w:szCs w:val="20"/>
              </w:rPr>
              <w:t>Small Melbourne furniture manufacturer and wholesaler</w:t>
            </w:r>
          </w:p>
        </w:tc>
      </w:tr>
      <w:tr w:rsidR="00723921" w:rsidRPr="005934A1" w14:paraId="130643F1" w14:textId="77777777" w:rsidTr="00B740AF">
        <w:trPr>
          <w:trHeight w:val="330"/>
        </w:trPr>
        <w:tc>
          <w:tcPr>
            <w:tcW w:w="1727" w:type="pct"/>
            <w:vAlign w:val="bottom"/>
          </w:tcPr>
          <w:p w14:paraId="6B29371C" w14:textId="0CF0A432" w:rsidR="00723921" w:rsidRDefault="00723921" w:rsidP="00F05000">
            <w:pPr>
              <w:spacing w:before="120"/>
              <w:ind w:left="340"/>
              <w:rPr>
                <w:sz w:val="20"/>
                <w:szCs w:val="20"/>
              </w:rPr>
            </w:pPr>
            <w:r>
              <w:rPr>
                <w:sz w:val="20"/>
                <w:szCs w:val="20"/>
              </w:rPr>
              <w:t>eBay</w:t>
            </w:r>
            <w:r w:rsidR="00DB6C39">
              <w:rPr>
                <w:sz w:val="20"/>
                <w:szCs w:val="20"/>
              </w:rPr>
              <w:t xml:space="preserve"> (AUS/NZ)</w:t>
            </w:r>
          </w:p>
        </w:tc>
        <w:tc>
          <w:tcPr>
            <w:tcW w:w="3273" w:type="pct"/>
            <w:shd w:val="clear" w:color="auto" w:fill="auto"/>
            <w:vAlign w:val="bottom"/>
          </w:tcPr>
          <w:p w14:paraId="27340DE8" w14:textId="77777777" w:rsidR="00723921" w:rsidRDefault="00723921" w:rsidP="00F05000">
            <w:pPr>
              <w:spacing w:before="120"/>
              <w:rPr>
                <w:rFonts w:asciiTheme="minorHAnsi" w:hAnsiTheme="minorHAnsi" w:cstheme="minorHAnsi"/>
                <w:sz w:val="20"/>
                <w:szCs w:val="20"/>
              </w:rPr>
            </w:pPr>
            <w:r>
              <w:rPr>
                <w:rFonts w:asciiTheme="minorHAnsi" w:hAnsiTheme="minorHAnsi" w:cstheme="minorHAnsi"/>
                <w:sz w:val="20"/>
                <w:szCs w:val="20"/>
              </w:rPr>
              <w:t xml:space="preserve">A </w:t>
            </w:r>
            <w:r w:rsidRPr="005C66F4">
              <w:rPr>
                <w:rFonts w:asciiTheme="minorHAnsi" w:hAnsiTheme="minorHAnsi" w:cstheme="minorHAnsi"/>
                <w:sz w:val="20"/>
                <w:szCs w:val="20"/>
              </w:rPr>
              <w:t>multinational e-commerce company</w:t>
            </w:r>
          </w:p>
        </w:tc>
      </w:tr>
      <w:tr w:rsidR="00723921" w:rsidRPr="005934A1" w14:paraId="1F99F360" w14:textId="77777777" w:rsidTr="00B740AF">
        <w:trPr>
          <w:trHeight w:val="330"/>
        </w:trPr>
        <w:tc>
          <w:tcPr>
            <w:tcW w:w="1727" w:type="pct"/>
            <w:vAlign w:val="bottom"/>
          </w:tcPr>
          <w:p w14:paraId="7269330A" w14:textId="77777777" w:rsidR="00723921" w:rsidRPr="005934A1" w:rsidRDefault="00723921" w:rsidP="00F05000">
            <w:pPr>
              <w:spacing w:before="120"/>
              <w:ind w:left="340"/>
              <w:rPr>
                <w:sz w:val="20"/>
                <w:szCs w:val="20"/>
              </w:rPr>
            </w:pPr>
            <w:r w:rsidRPr="005934A1">
              <w:rPr>
                <w:sz w:val="20"/>
                <w:szCs w:val="20"/>
              </w:rPr>
              <w:t>Herman Miller</w:t>
            </w:r>
          </w:p>
        </w:tc>
        <w:tc>
          <w:tcPr>
            <w:tcW w:w="3273" w:type="pct"/>
            <w:shd w:val="clear" w:color="auto" w:fill="auto"/>
            <w:vAlign w:val="bottom"/>
          </w:tcPr>
          <w:p w14:paraId="48D7F334" w14:textId="4A97BE9A" w:rsidR="00723921" w:rsidRPr="005934A1" w:rsidRDefault="00723921" w:rsidP="00F05000">
            <w:pPr>
              <w:spacing w:before="120"/>
              <w:rPr>
                <w:rFonts w:asciiTheme="minorHAnsi" w:hAnsiTheme="minorHAnsi" w:cstheme="minorHAnsi"/>
                <w:sz w:val="20"/>
                <w:szCs w:val="20"/>
              </w:rPr>
            </w:pPr>
            <w:r w:rsidRPr="005934A1">
              <w:rPr>
                <w:rFonts w:asciiTheme="minorHAnsi" w:hAnsiTheme="minorHAnsi" w:cstheme="minorHAnsi"/>
                <w:sz w:val="20"/>
                <w:szCs w:val="20"/>
              </w:rPr>
              <w:t>US-based furniture manufacturer for residential and commercial buildings</w:t>
            </w:r>
          </w:p>
        </w:tc>
      </w:tr>
      <w:tr w:rsidR="00723921" w:rsidRPr="005934A1" w14:paraId="13E1E303" w14:textId="77777777" w:rsidTr="00B740AF">
        <w:trPr>
          <w:trHeight w:val="330"/>
        </w:trPr>
        <w:tc>
          <w:tcPr>
            <w:tcW w:w="1727" w:type="pct"/>
            <w:vAlign w:val="bottom"/>
          </w:tcPr>
          <w:p w14:paraId="701A6969" w14:textId="77777777" w:rsidR="00723921" w:rsidRPr="005934A1" w:rsidRDefault="00723921" w:rsidP="00F05000">
            <w:pPr>
              <w:spacing w:before="120"/>
              <w:ind w:left="340"/>
              <w:rPr>
                <w:sz w:val="20"/>
                <w:szCs w:val="20"/>
              </w:rPr>
            </w:pPr>
            <w:r w:rsidRPr="005934A1">
              <w:rPr>
                <w:sz w:val="20"/>
                <w:szCs w:val="20"/>
              </w:rPr>
              <w:t>IKEA</w:t>
            </w:r>
          </w:p>
        </w:tc>
        <w:tc>
          <w:tcPr>
            <w:tcW w:w="3273" w:type="pct"/>
            <w:shd w:val="clear" w:color="auto" w:fill="auto"/>
            <w:vAlign w:val="bottom"/>
          </w:tcPr>
          <w:p w14:paraId="404AE28C" w14:textId="3A77F3C9" w:rsidR="00723921" w:rsidRPr="005934A1" w:rsidRDefault="00723921" w:rsidP="00F05000">
            <w:pPr>
              <w:spacing w:before="120"/>
              <w:rPr>
                <w:rFonts w:asciiTheme="minorHAnsi" w:hAnsiTheme="minorHAnsi" w:cstheme="minorHAnsi"/>
                <w:sz w:val="20"/>
                <w:szCs w:val="20"/>
              </w:rPr>
            </w:pPr>
            <w:r w:rsidRPr="005934A1">
              <w:rPr>
                <w:rFonts w:asciiTheme="minorHAnsi" w:hAnsiTheme="minorHAnsi" w:cstheme="minorHAnsi"/>
                <w:sz w:val="20"/>
                <w:szCs w:val="20"/>
              </w:rPr>
              <w:t xml:space="preserve">World’s largest furniture retailer selling </w:t>
            </w:r>
            <w:r w:rsidRPr="005934A1">
              <w:rPr>
                <w:rStyle w:val="vanchor-text"/>
                <w:sz w:val="20"/>
                <w:szCs w:val="20"/>
                <w:shd w:val="clear" w:color="auto" w:fill="FFFFFF"/>
              </w:rPr>
              <w:t>ready-to-assemble furniture</w:t>
            </w:r>
            <w:r w:rsidRPr="005934A1">
              <w:rPr>
                <w:sz w:val="20"/>
                <w:szCs w:val="20"/>
                <w:shd w:val="clear" w:color="auto" w:fill="FFFFFF"/>
              </w:rPr>
              <w:t>, kitchen appliances and home accessories, among other goods and home services</w:t>
            </w:r>
          </w:p>
        </w:tc>
      </w:tr>
      <w:tr w:rsidR="00723921" w:rsidRPr="005934A1" w14:paraId="5B1ADD77" w14:textId="77777777" w:rsidTr="00B740AF">
        <w:trPr>
          <w:trHeight w:val="330"/>
        </w:trPr>
        <w:tc>
          <w:tcPr>
            <w:tcW w:w="1727" w:type="pct"/>
            <w:vAlign w:val="bottom"/>
          </w:tcPr>
          <w:p w14:paraId="5BCEAEDF" w14:textId="77777777" w:rsidR="00723921" w:rsidRPr="005934A1" w:rsidRDefault="00723921" w:rsidP="00F05000">
            <w:pPr>
              <w:spacing w:before="120"/>
              <w:ind w:left="340"/>
              <w:rPr>
                <w:sz w:val="20"/>
                <w:szCs w:val="20"/>
              </w:rPr>
            </w:pPr>
            <w:r>
              <w:rPr>
                <w:sz w:val="20"/>
                <w:szCs w:val="20"/>
              </w:rPr>
              <w:t>Infa Group</w:t>
            </w:r>
          </w:p>
        </w:tc>
        <w:tc>
          <w:tcPr>
            <w:tcW w:w="3273" w:type="pct"/>
            <w:shd w:val="clear" w:color="auto" w:fill="auto"/>
            <w:vAlign w:val="bottom"/>
          </w:tcPr>
          <w:p w14:paraId="2317977A" w14:textId="26D037B1" w:rsidR="00723921" w:rsidRPr="005934A1" w:rsidRDefault="00723921" w:rsidP="00F05000">
            <w:pPr>
              <w:spacing w:before="120"/>
              <w:rPr>
                <w:rFonts w:asciiTheme="minorHAnsi" w:hAnsiTheme="minorHAnsi" w:cstheme="minorHAnsi"/>
                <w:sz w:val="20"/>
                <w:szCs w:val="20"/>
              </w:rPr>
            </w:pPr>
            <w:r>
              <w:rPr>
                <w:rFonts w:asciiTheme="minorHAnsi" w:hAnsiTheme="minorHAnsi" w:cstheme="minorHAnsi"/>
                <w:sz w:val="20"/>
                <w:szCs w:val="20"/>
              </w:rPr>
              <w:t>A</w:t>
            </w:r>
            <w:r w:rsidRPr="009601BD">
              <w:rPr>
                <w:rFonts w:asciiTheme="minorHAnsi" w:hAnsiTheme="minorHAnsi" w:cstheme="minorHAnsi"/>
                <w:sz w:val="20"/>
                <w:szCs w:val="20"/>
              </w:rPr>
              <w:t xml:space="preserve"> family and Australian owned company with over 65 years of experience in juvenile products</w:t>
            </w:r>
          </w:p>
        </w:tc>
      </w:tr>
      <w:tr w:rsidR="00723921" w:rsidRPr="005934A1" w14:paraId="552EAFA1" w14:textId="77777777" w:rsidTr="00B740AF">
        <w:trPr>
          <w:trHeight w:val="330"/>
        </w:trPr>
        <w:tc>
          <w:tcPr>
            <w:tcW w:w="1727" w:type="pct"/>
            <w:vAlign w:val="bottom"/>
          </w:tcPr>
          <w:p w14:paraId="30AEF646" w14:textId="77777777" w:rsidR="00723921" w:rsidRPr="005934A1" w:rsidRDefault="00723921" w:rsidP="00F05000">
            <w:pPr>
              <w:spacing w:before="120"/>
              <w:ind w:left="340"/>
              <w:rPr>
                <w:sz w:val="20"/>
                <w:szCs w:val="20"/>
              </w:rPr>
            </w:pPr>
            <w:r w:rsidRPr="005934A1">
              <w:rPr>
                <w:sz w:val="20"/>
                <w:szCs w:val="20"/>
              </w:rPr>
              <w:t>Kmart Australia</w:t>
            </w:r>
          </w:p>
        </w:tc>
        <w:tc>
          <w:tcPr>
            <w:tcW w:w="3273" w:type="pct"/>
            <w:shd w:val="clear" w:color="auto" w:fill="auto"/>
            <w:vAlign w:val="bottom"/>
          </w:tcPr>
          <w:p w14:paraId="432A9F51" w14:textId="1CF55AB1" w:rsidR="00723921" w:rsidRPr="005934A1" w:rsidRDefault="00723921" w:rsidP="00F05000">
            <w:pPr>
              <w:spacing w:before="120"/>
              <w:rPr>
                <w:rFonts w:asciiTheme="minorHAnsi" w:hAnsiTheme="minorHAnsi" w:cstheme="minorHAnsi"/>
                <w:sz w:val="20"/>
                <w:szCs w:val="20"/>
              </w:rPr>
            </w:pPr>
            <w:r w:rsidRPr="005934A1">
              <w:rPr>
                <w:rFonts w:asciiTheme="minorHAnsi" w:hAnsiTheme="minorHAnsi" w:cstheme="minorHAnsi"/>
                <w:sz w:val="20"/>
                <w:szCs w:val="20"/>
              </w:rPr>
              <w:t>Australian-based chain of affordable retail stores selling consumer goods such as homeware, apparel, toys and furniture</w:t>
            </w:r>
          </w:p>
        </w:tc>
      </w:tr>
      <w:tr w:rsidR="00723921" w:rsidRPr="005934A1" w14:paraId="522A8FFD" w14:textId="77777777" w:rsidTr="00B740AF">
        <w:trPr>
          <w:trHeight w:val="330"/>
        </w:trPr>
        <w:tc>
          <w:tcPr>
            <w:tcW w:w="1727" w:type="pct"/>
            <w:vAlign w:val="bottom"/>
          </w:tcPr>
          <w:p w14:paraId="7B149F15" w14:textId="77777777" w:rsidR="00723921" w:rsidRDefault="00723921" w:rsidP="00F05000">
            <w:pPr>
              <w:spacing w:before="120"/>
              <w:ind w:left="340"/>
              <w:rPr>
                <w:sz w:val="20"/>
                <w:szCs w:val="20"/>
              </w:rPr>
            </w:pPr>
            <w:r>
              <w:rPr>
                <w:sz w:val="20"/>
                <w:szCs w:val="20"/>
              </w:rPr>
              <w:t>Mabarrak Furniture Factory</w:t>
            </w:r>
          </w:p>
        </w:tc>
        <w:tc>
          <w:tcPr>
            <w:tcW w:w="3273" w:type="pct"/>
            <w:shd w:val="clear" w:color="auto" w:fill="auto"/>
            <w:vAlign w:val="bottom"/>
          </w:tcPr>
          <w:p w14:paraId="6127E289" w14:textId="0BA50688" w:rsidR="00723921" w:rsidRDefault="00407A3B" w:rsidP="00F05000">
            <w:pPr>
              <w:spacing w:before="120"/>
              <w:rPr>
                <w:rFonts w:asciiTheme="minorHAnsi" w:hAnsiTheme="minorHAnsi" w:cstheme="minorHAnsi"/>
                <w:sz w:val="20"/>
                <w:szCs w:val="20"/>
              </w:rPr>
            </w:pPr>
            <w:r>
              <w:rPr>
                <w:rFonts w:asciiTheme="minorHAnsi" w:hAnsiTheme="minorHAnsi" w:cstheme="minorHAnsi"/>
                <w:sz w:val="20"/>
                <w:szCs w:val="20"/>
              </w:rPr>
              <w:t>Adelaide based</w:t>
            </w:r>
            <w:r w:rsidR="00723921">
              <w:rPr>
                <w:rFonts w:asciiTheme="minorHAnsi" w:hAnsiTheme="minorHAnsi" w:cstheme="minorHAnsi"/>
                <w:sz w:val="20"/>
                <w:szCs w:val="20"/>
              </w:rPr>
              <w:t xml:space="preserve"> furniture manufacturer and retailer</w:t>
            </w:r>
          </w:p>
        </w:tc>
      </w:tr>
      <w:tr w:rsidR="00723921" w:rsidRPr="005934A1" w14:paraId="543CBCCC" w14:textId="77777777" w:rsidTr="00B740AF">
        <w:trPr>
          <w:trHeight w:val="330"/>
        </w:trPr>
        <w:tc>
          <w:tcPr>
            <w:tcW w:w="1727" w:type="pct"/>
            <w:vAlign w:val="bottom"/>
          </w:tcPr>
          <w:p w14:paraId="45E2BE2B" w14:textId="77777777" w:rsidR="00723921" w:rsidRPr="005934A1" w:rsidRDefault="00723921" w:rsidP="00F05000">
            <w:pPr>
              <w:spacing w:before="120"/>
              <w:ind w:left="340"/>
              <w:rPr>
                <w:sz w:val="20"/>
                <w:szCs w:val="20"/>
              </w:rPr>
            </w:pPr>
            <w:r w:rsidRPr="005934A1">
              <w:rPr>
                <w:sz w:val="20"/>
                <w:szCs w:val="20"/>
              </w:rPr>
              <w:t>Planex</w:t>
            </w:r>
          </w:p>
        </w:tc>
        <w:tc>
          <w:tcPr>
            <w:tcW w:w="3273" w:type="pct"/>
            <w:shd w:val="clear" w:color="auto" w:fill="auto"/>
            <w:vAlign w:val="bottom"/>
          </w:tcPr>
          <w:p w14:paraId="26A6489F" w14:textId="54F834CB" w:rsidR="00723921" w:rsidRPr="005934A1" w:rsidRDefault="00723921" w:rsidP="00F05000">
            <w:pPr>
              <w:spacing w:before="120"/>
              <w:rPr>
                <w:rFonts w:asciiTheme="minorHAnsi" w:hAnsiTheme="minorHAnsi" w:cstheme="minorHAnsi"/>
                <w:sz w:val="20"/>
                <w:szCs w:val="20"/>
              </w:rPr>
            </w:pPr>
            <w:r w:rsidRPr="005934A1">
              <w:rPr>
                <w:rFonts w:asciiTheme="minorHAnsi" w:hAnsiTheme="minorHAnsi" w:cstheme="minorHAnsi"/>
                <w:sz w:val="20"/>
                <w:szCs w:val="20"/>
              </w:rPr>
              <w:t>Australian-owned furniture designer and manufacturer specialising in storage furniture mainly for office buildings</w:t>
            </w:r>
          </w:p>
        </w:tc>
      </w:tr>
      <w:tr w:rsidR="00723921" w:rsidRPr="005934A1" w14:paraId="0480047F" w14:textId="77777777" w:rsidTr="00B740AF">
        <w:trPr>
          <w:trHeight w:val="330"/>
        </w:trPr>
        <w:tc>
          <w:tcPr>
            <w:tcW w:w="1727" w:type="pct"/>
            <w:vAlign w:val="bottom"/>
          </w:tcPr>
          <w:p w14:paraId="3923D16D" w14:textId="77777777" w:rsidR="00723921" w:rsidRPr="005934A1" w:rsidRDefault="00723921" w:rsidP="00F05000">
            <w:pPr>
              <w:spacing w:before="120"/>
              <w:ind w:left="340"/>
              <w:rPr>
                <w:sz w:val="20"/>
                <w:szCs w:val="20"/>
              </w:rPr>
            </w:pPr>
            <w:r w:rsidRPr="005934A1">
              <w:rPr>
                <w:sz w:val="20"/>
                <w:szCs w:val="20"/>
              </w:rPr>
              <w:t>TEMPO</w:t>
            </w:r>
          </w:p>
        </w:tc>
        <w:tc>
          <w:tcPr>
            <w:tcW w:w="3273" w:type="pct"/>
            <w:shd w:val="clear" w:color="auto" w:fill="auto"/>
            <w:vAlign w:val="bottom"/>
          </w:tcPr>
          <w:p w14:paraId="2E260AFB" w14:textId="77777777" w:rsidR="00723921" w:rsidRPr="005934A1" w:rsidRDefault="00723921" w:rsidP="00F05000">
            <w:pPr>
              <w:spacing w:before="120"/>
              <w:rPr>
                <w:rFonts w:asciiTheme="minorHAnsi" w:hAnsiTheme="minorHAnsi" w:cstheme="minorHAnsi"/>
                <w:sz w:val="20"/>
                <w:szCs w:val="20"/>
              </w:rPr>
            </w:pPr>
            <w:r w:rsidRPr="005934A1">
              <w:rPr>
                <w:color w:val="000000"/>
                <w:sz w:val="20"/>
                <w:szCs w:val="20"/>
                <w:shd w:val="clear" w:color="auto" w:fill="FFFFFF"/>
              </w:rPr>
              <w:t>Australian owned supplier to the Consumer Electronics and Home Appliance global marketplace</w:t>
            </w:r>
          </w:p>
        </w:tc>
      </w:tr>
    </w:tbl>
    <w:p w14:paraId="2DFAD7C8" w14:textId="77777777" w:rsidR="00C07A33" w:rsidRPr="004C396F" w:rsidRDefault="00C07A33" w:rsidP="00F05000">
      <w:pPr>
        <w:pStyle w:val="ListParagraph"/>
        <w:numPr>
          <w:ilvl w:val="0"/>
          <w:numId w:val="27"/>
        </w:numPr>
      </w:pPr>
      <w:r w:rsidRPr="004C396F">
        <w:br w:type="page"/>
      </w:r>
    </w:p>
    <w:p w14:paraId="69741D8B" w14:textId="77777777" w:rsidR="004E534C" w:rsidRPr="005D4886" w:rsidRDefault="004E534C" w:rsidP="00F05000">
      <w:pPr>
        <w:spacing w:before="120"/>
        <w:rPr>
          <w:sz w:val="20"/>
          <w:szCs w:val="20"/>
        </w:rPr>
        <w:sectPr w:rsidR="004E534C" w:rsidRPr="005D4886" w:rsidSect="006B4D5B">
          <w:headerReference w:type="default" r:id="rId36"/>
          <w:headerReference w:type="first" r:id="rId37"/>
          <w:footerReference w:type="first" r:id="rId38"/>
          <w:pgSz w:w="11906" w:h="16838"/>
          <w:pgMar w:top="1276" w:right="1440" w:bottom="1440" w:left="1440" w:header="708" w:footer="708" w:gutter="0"/>
          <w:pgNumType w:start="1"/>
          <w:cols w:space="708"/>
          <w:docGrid w:linePitch="360"/>
        </w:sectPr>
      </w:pPr>
    </w:p>
    <w:p w14:paraId="763EB041" w14:textId="510E4216" w:rsidR="00C22130" w:rsidRDefault="005B411F" w:rsidP="00F05000">
      <w:pPr>
        <w:pStyle w:val="Heading1"/>
        <w:numPr>
          <w:ilvl w:val="0"/>
          <w:numId w:val="0"/>
        </w:numPr>
        <w:spacing w:before="120"/>
      </w:pPr>
      <w:bookmarkStart w:id="1571" w:name="_Toc126074165"/>
      <w:r>
        <w:t xml:space="preserve">Attachment </w:t>
      </w:r>
      <w:r w:rsidR="0018528C">
        <w:t>B</w:t>
      </w:r>
      <w:r>
        <w:t xml:space="preserve">: </w:t>
      </w:r>
      <w:r w:rsidR="005A216D">
        <w:t>C</w:t>
      </w:r>
      <w:r>
        <w:t>ost benefit analysis - assumptions</w:t>
      </w:r>
      <w:bookmarkEnd w:id="1571"/>
      <w:r>
        <w:t xml:space="preserve"> </w:t>
      </w:r>
    </w:p>
    <w:p w14:paraId="770AC38F" w14:textId="6BCC3263" w:rsidR="00D57AA9" w:rsidRDefault="00D57AA9" w:rsidP="00F05000">
      <w:pPr>
        <w:spacing w:before="120"/>
      </w:pPr>
      <w:r>
        <w:t xml:space="preserve">The following assumptions have been made in relation to </w:t>
      </w:r>
      <w:r w:rsidR="00A07DD3">
        <w:t xml:space="preserve">the </w:t>
      </w:r>
      <w:r>
        <w:t xml:space="preserve">cost-benefit analysis. The basis for these assumptions is detailed below. </w:t>
      </w:r>
    </w:p>
    <w:tbl>
      <w:tblPr>
        <w:tblStyle w:val="GridTable2"/>
        <w:tblW w:w="5047" w:type="pct"/>
        <w:tblInd w:w="0" w:type="dxa"/>
        <w:tblLook w:val="04A0" w:firstRow="1" w:lastRow="0" w:firstColumn="1" w:lastColumn="0" w:noHBand="0" w:noVBand="1"/>
      </w:tblPr>
      <w:tblGrid>
        <w:gridCol w:w="2010"/>
        <w:gridCol w:w="1340"/>
        <w:gridCol w:w="1691"/>
        <w:gridCol w:w="9214"/>
      </w:tblGrid>
      <w:tr w:rsidR="00A07DD3" w:rsidRPr="00F77F62" w14:paraId="24604FCF" w14:textId="77777777" w:rsidTr="00274317">
        <w:trPr>
          <w:cnfStyle w:val="100000000000" w:firstRow="1" w:lastRow="0" w:firstColumn="0" w:lastColumn="0" w:oddVBand="0" w:evenVBand="0" w:oddHBand="0" w:evenHBand="0" w:firstRowFirstColumn="0" w:firstRowLastColumn="0" w:lastRowFirstColumn="0" w:lastRowLastColumn="0"/>
          <w:cantSplit/>
          <w:trHeight w:val="321"/>
          <w:tblHeader/>
        </w:trPr>
        <w:tc>
          <w:tcPr>
            <w:cnfStyle w:val="001000000000" w:firstRow="0" w:lastRow="0" w:firstColumn="1" w:lastColumn="0" w:oddVBand="0" w:evenVBand="0" w:oddHBand="0" w:evenHBand="0" w:firstRowFirstColumn="0" w:firstRowLastColumn="0" w:lastRowFirstColumn="0" w:lastRowLastColumn="0"/>
            <w:tcW w:w="705" w:type="pct"/>
            <w:tcBorders>
              <w:left w:val="nil"/>
            </w:tcBorders>
            <w:hideMark/>
          </w:tcPr>
          <w:p w14:paraId="72FD4AB2" w14:textId="77777777" w:rsidR="00D57AA9" w:rsidRPr="00F77F62" w:rsidRDefault="00D57AA9" w:rsidP="00F05000">
            <w:pPr>
              <w:spacing w:before="120" w:after="120"/>
              <w:rPr>
                <w:rFonts w:asciiTheme="minorHAnsi" w:hAnsiTheme="minorHAnsi" w:cstheme="minorHAnsi"/>
                <w:sz w:val="20"/>
                <w:szCs w:val="20"/>
              </w:rPr>
            </w:pPr>
            <w:r w:rsidRPr="00F77F62">
              <w:rPr>
                <w:rFonts w:asciiTheme="minorHAnsi" w:hAnsiTheme="minorHAnsi" w:cstheme="minorHAnsi"/>
                <w:sz w:val="20"/>
                <w:szCs w:val="20"/>
              </w:rPr>
              <w:t>Inputs to analysis</w:t>
            </w:r>
          </w:p>
        </w:tc>
        <w:tc>
          <w:tcPr>
            <w:tcW w:w="470" w:type="pct"/>
            <w:hideMark/>
          </w:tcPr>
          <w:p w14:paraId="7A277157" w14:textId="77777777" w:rsidR="00D57AA9" w:rsidRPr="00F77F62" w:rsidRDefault="00D57AA9" w:rsidP="00F05000">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77F62">
              <w:rPr>
                <w:rFonts w:asciiTheme="minorHAnsi" w:hAnsiTheme="minorHAnsi" w:cstheme="minorHAnsi"/>
                <w:sz w:val="20"/>
                <w:szCs w:val="20"/>
              </w:rPr>
              <w:t>Number</w:t>
            </w:r>
          </w:p>
        </w:tc>
        <w:tc>
          <w:tcPr>
            <w:tcW w:w="593" w:type="pct"/>
            <w:hideMark/>
          </w:tcPr>
          <w:p w14:paraId="56341F59" w14:textId="77777777" w:rsidR="00D57AA9" w:rsidRPr="00F77F62" w:rsidRDefault="00D57AA9" w:rsidP="00F05000">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77F62">
              <w:rPr>
                <w:rFonts w:asciiTheme="minorHAnsi" w:hAnsiTheme="minorHAnsi" w:cstheme="minorHAnsi"/>
                <w:sz w:val="20"/>
                <w:szCs w:val="20"/>
              </w:rPr>
              <w:t>Source</w:t>
            </w:r>
          </w:p>
        </w:tc>
        <w:tc>
          <w:tcPr>
            <w:tcW w:w="3232" w:type="pct"/>
            <w:tcBorders>
              <w:right w:val="nil"/>
            </w:tcBorders>
            <w:hideMark/>
          </w:tcPr>
          <w:p w14:paraId="28A38634" w14:textId="77777777" w:rsidR="00D57AA9" w:rsidRPr="00F77F62" w:rsidRDefault="00D57AA9" w:rsidP="00F05000">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77F62">
              <w:rPr>
                <w:rFonts w:asciiTheme="minorHAnsi" w:hAnsiTheme="minorHAnsi" w:cstheme="minorHAnsi"/>
                <w:sz w:val="20"/>
                <w:szCs w:val="20"/>
              </w:rPr>
              <w:t>Comments</w:t>
            </w:r>
          </w:p>
        </w:tc>
      </w:tr>
      <w:tr w:rsidR="00A07DD3" w:rsidRPr="00F77F62" w14:paraId="75CFAEC6" w14:textId="77777777" w:rsidTr="00274317">
        <w:trPr>
          <w:cnfStyle w:val="000000100000" w:firstRow="0" w:lastRow="0" w:firstColumn="0" w:lastColumn="0" w:oddVBand="0" w:evenVBand="0" w:oddHBand="1" w:evenHBand="0" w:firstRowFirstColumn="0" w:firstRowLastColumn="0" w:lastRowFirstColumn="0" w:lastRowLastColumn="0"/>
          <w:cantSplit/>
          <w:trHeight w:val="809"/>
        </w:trPr>
        <w:tc>
          <w:tcPr>
            <w:cnfStyle w:val="001000000000" w:firstRow="0" w:lastRow="0" w:firstColumn="1" w:lastColumn="0" w:oddVBand="0" w:evenVBand="0" w:oddHBand="0" w:evenHBand="0" w:firstRowFirstColumn="0" w:firstRowLastColumn="0" w:lastRowFirstColumn="0" w:lastRowLastColumn="0"/>
            <w:tcW w:w="705" w:type="pct"/>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1DE286A7" w14:textId="77777777" w:rsidR="00D57AA9" w:rsidRPr="00A07DD3" w:rsidRDefault="00D57AA9" w:rsidP="00F05000">
            <w:pPr>
              <w:spacing w:before="120" w:after="120"/>
              <w:rPr>
                <w:rFonts w:asciiTheme="minorHAnsi" w:hAnsiTheme="minorHAnsi" w:cstheme="minorHAnsi"/>
                <w:b w:val="0"/>
                <w:bCs w:val="0"/>
                <w:sz w:val="20"/>
                <w:szCs w:val="20"/>
              </w:rPr>
            </w:pPr>
            <w:r w:rsidRPr="00A07DD3">
              <w:rPr>
                <w:rFonts w:asciiTheme="minorHAnsi" w:hAnsiTheme="minorHAnsi" w:cstheme="minorHAnsi"/>
                <w:b w:val="0"/>
                <w:bCs w:val="0"/>
                <w:sz w:val="20"/>
                <w:szCs w:val="20"/>
              </w:rPr>
              <w:t>Australian households (no.)</w:t>
            </w:r>
          </w:p>
        </w:tc>
        <w:tc>
          <w:tcPr>
            <w:tcW w:w="470"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16546EF7" w14:textId="77777777" w:rsidR="00D57AA9" w:rsidRPr="00F77F62" w:rsidRDefault="00D57AA9" w:rsidP="00F05000">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F77F62">
              <w:rPr>
                <w:rFonts w:asciiTheme="minorHAnsi" w:hAnsiTheme="minorHAnsi" w:cstheme="minorHAnsi"/>
                <w:bCs/>
                <w:sz w:val="20"/>
                <w:szCs w:val="20"/>
              </w:rPr>
              <w:t>9,800,000</w:t>
            </w:r>
          </w:p>
        </w:tc>
        <w:tc>
          <w:tcPr>
            <w:tcW w:w="593"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4031B958" w14:textId="77777777" w:rsidR="00D57AA9" w:rsidRPr="00F77F62" w:rsidRDefault="00254AB5" w:rsidP="00F0500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hyperlink r:id="rId39" w:anchor="intro" w:history="1">
              <w:r w:rsidR="00D57AA9" w:rsidRPr="00F77F62">
                <w:rPr>
                  <w:rStyle w:val="Hyperlink"/>
                  <w:rFonts w:asciiTheme="minorHAnsi" w:hAnsiTheme="minorHAnsi" w:cstheme="minorHAnsi"/>
                  <w:bCs/>
                  <w:sz w:val="20"/>
                  <w:szCs w:val="20"/>
                </w:rPr>
                <w:t>AIHW, 2022</w:t>
              </w:r>
            </w:hyperlink>
            <w:r w:rsidR="00D57AA9" w:rsidRPr="00F77F62">
              <w:rPr>
                <w:rFonts w:asciiTheme="minorHAnsi" w:hAnsiTheme="minorHAnsi" w:cstheme="minorHAnsi"/>
                <w:bCs/>
                <w:sz w:val="20"/>
                <w:szCs w:val="20"/>
              </w:rPr>
              <w:t xml:space="preserve">; </w:t>
            </w:r>
            <w:hyperlink r:id="rId40" w:history="1">
              <w:r w:rsidR="00D57AA9" w:rsidRPr="00F77F62">
                <w:rPr>
                  <w:rStyle w:val="Hyperlink"/>
                  <w:rFonts w:asciiTheme="minorHAnsi" w:hAnsiTheme="minorHAnsi" w:cstheme="minorHAnsi"/>
                  <w:bCs/>
                  <w:sz w:val="20"/>
                  <w:szCs w:val="20"/>
                </w:rPr>
                <w:t>ABS Census, 2021</w:t>
              </w:r>
            </w:hyperlink>
          </w:p>
        </w:tc>
        <w:tc>
          <w:tcPr>
            <w:tcW w:w="3232" w:type="pct"/>
            <w:tcBorders>
              <w:top w:val="single" w:sz="2" w:space="0" w:color="666666" w:themeColor="text1" w:themeTint="99"/>
              <w:left w:val="single" w:sz="2" w:space="0" w:color="666666" w:themeColor="text1" w:themeTint="99"/>
              <w:bottom w:val="single" w:sz="2" w:space="0" w:color="666666" w:themeColor="text1" w:themeTint="99"/>
              <w:right w:val="nil"/>
            </w:tcBorders>
          </w:tcPr>
          <w:p w14:paraId="4EA046F9" w14:textId="77777777" w:rsidR="00D57AA9" w:rsidRPr="00F77F62" w:rsidRDefault="00D57AA9" w:rsidP="00F0500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p>
        </w:tc>
      </w:tr>
      <w:tr w:rsidR="00A07DD3" w:rsidRPr="00F77F62" w14:paraId="2E725886" w14:textId="77777777" w:rsidTr="00274317">
        <w:trPr>
          <w:cantSplit/>
          <w:trHeight w:val="1903"/>
        </w:trPr>
        <w:tc>
          <w:tcPr>
            <w:cnfStyle w:val="001000000000" w:firstRow="0" w:lastRow="0" w:firstColumn="1" w:lastColumn="0" w:oddVBand="0" w:evenVBand="0" w:oddHBand="0" w:evenHBand="0" w:firstRowFirstColumn="0" w:firstRowLastColumn="0" w:lastRowFirstColumn="0" w:lastRowLastColumn="0"/>
            <w:tcW w:w="705" w:type="pct"/>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3B70C67C" w14:textId="77777777" w:rsidR="00D57AA9" w:rsidRPr="00A07DD3" w:rsidRDefault="00D57AA9" w:rsidP="00F05000">
            <w:pPr>
              <w:spacing w:before="120" w:after="120"/>
              <w:rPr>
                <w:rFonts w:asciiTheme="minorHAnsi" w:hAnsiTheme="minorHAnsi" w:cstheme="minorHAnsi"/>
                <w:b w:val="0"/>
                <w:bCs w:val="0"/>
                <w:sz w:val="20"/>
                <w:szCs w:val="20"/>
              </w:rPr>
            </w:pPr>
            <w:r w:rsidRPr="00A07DD3">
              <w:rPr>
                <w:rFonts w:asciiTheme="minorHAnsi" w:hAnsiTheme="minorHAnsi" w:cstheme="minorHAnsi"/>
                <w:b w:val="0"/>
                <w:bCs w:val="0"/>
                <w:sz w:val="20"/>
                <w:szCs w:val="20"/>
              </w:rPr>
              <w:t>Households with young children (no.)</w:t>
            </w:r>
          </w:p>
        </w:tc>
        <w:tc>
          <w:tcPr>
            <w:tcW w:w="470"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707B53E4" w14:textId="77777777" w:rsidR="00D57AA9" w:rsidRPr="00F77F62" w:rsidRDefault="00D57AA9" w:rsidP="00F05000">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F77F62">
              <w:rPr>
                <w:rFonts w:asciiTheme="minorHAnsi" w:hAnsiTheme="minorHAnsi" w:cstheme="minorHAnsi"/>
                <w:bCs/>
                <w:sz w:val="20"/>
                <w:szCs w:val="20"/>
              </w:rPr>
              <w:t>1,000,000</w:t>
            </w:r>
          </w:p>
        </w:tc>
        <w:tc>
          <w:tcPr>
            <w:tcW w:w="593"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464E51A8" w14:textId="77777777" w:rsidR="00D57AA9" w:rsidRPr="00F77F62" w:rsidRDefault="00254AB5" w:rsidP="00F0500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hyperlink r:id="rId41" w:anchor="our-families-and-households" w:history="1">
              <w:r w:rsidR="00D57AA9" w:rsidRPr="00F77F62">
                <w:rPr>
                  <w:rStyle w:val="Hyperlink"/>
                  <w:rFonts w:asciiTheme="minorHAnsi" w:hAnsiTheme="minorHAnsi" w:cstheme="minorHAnsi"/>
                  <w:bCs/>
                  <w:sz w:val="20"/>
                  <w:szCs w:val="20"/>
                </w:rPr>
                <w:t>ABS Census, 2021</w:t>
              </w:r>
            </w:hyperlink>
            <w:r w:rsidR="00D57AA9" w:rsidRPr="00F77F62">
              <w:rPr>
                <w:rFonts w:asciiTheme="minorHAnsi" w:hAnsiTheme="minorHAnsi" w:cstheme="minorHAnsi"/>
                <w:bCs/>
                <w:sz w:val="20"/>
                <w:szCs w:val="20"/>
              </w:rPr>
              <w:t xml:space="preserve">; </w:t>
            </w:r>
            <w:hyperlink r:id="rId42" w:anchor="national" w:history="1">
              <w:r w:rsidR="00D57AA9" w:rsidRPr="00F77F62">
                <w:rPr>
                  <w:rStyle w:val="Hyperlink"/>
                  <w:rFonts w:asciiTheme="minorHAnsi" w:hAnsiTheme="minorHAnsi" w:cstheme="minorHAnsi"/>
                  <w:bCs/>
                  <w:sz w:val="20"/>
                  <w:szCs w:val="20"/>
                </w:rPr>
                <w:t>ABS Births, 2021</w:t>
              </w:r>
            </w:hyperlink>
            <w:r w:rsidR="00D57AA9" w:rsidRPr="00F77F62">
              <w:rPr>
                <w:rFonts w:asciiTheme="minorHAnsi" w:hAnsiTheme="minorHAnsi" w:cstheme="minorHAnsi"/>
                <w:bCs/>
                <w:sz w:val="20"/>
                <w:szCs w:val="20"/>
              </w:rPr>
              <w:t xml:space="preserve"> </w:t>
            </w:r>
          </w:p>
        </w:tc>
        <w:tc>
          <w:tcPr>
            <w:tcW w:w="3232" w:type="pct"/>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459F6F60" w14:textId="77777777" w:rsidR="00D57AA9" w:rsidRPr="00F77F62" w:rsidRDefault="00D57AA9" w:rsidP="00F0500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F77F62">
              <w:rPr>
                <w:rFonts w:asciiTheme="minorHAnsi" w:hAnsiTheme="minorHAnsi" w:cstheme="minorHAnsi"/>
                <w:bCs/>
                <w:sz w:val="20"/>
                <w:szCs w:val="20"/>
              </w:rPr>
              <w:t>It is known there are 2.5 million Australian households with children aged under 15. Assuming children’s age is evenly distributed, approximately 800,000 households would have children aged under 5. We do not know whether age groups are evenly distributed across households and have rounded up to 1 million to accommodate this uncertainty.</w:t>
            </w:r>
          </w:p>
          <w:p w14:paraId="10808B72" w14:textId="77777777" w:rsidR="00D57AA9" w:rsidRPr="00F77F62" w:rsidRDefault="00D57AA9" w:rsidP="00F0500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F77F62">
              <w:rPr>
                <w:rFonts w:asciiTheme="minorHAnsi" w:hAnsiTheme="minorHAnsi" w:cstheme="minorHAnsi"/>
                <w:bCs/>
                <w:sz w:val="20"/>
                <w:szCs w:val="20"/>
              </w:rPr>
              <w:t>It is known there are about 300,000 births in Australia per year. We can therefore assume there is approximately 1.5 million children aged under 5 in Australia. Some households would be expected to have multiple children aged under 5.</w:t>
            </w:r>
          </w:p>
        </w:tc>
      </w:tr>
      <w:tr w:rsidR="00A07DD3" w:rsidRPr="00F77F62" w14:paraId="41E06234" w14:textId="77777777" w:rsidTr="00274317">
        <w:trPr>
          <w:cnfStyle w:val="000000100000" w:firstRow="0" w:lastRow="0" w:firstColumn="0" w:lastColumn="0" w:oddVBand="0" w:evenVBand="0" w:oddHBand="1" w:evenHBand="0" w:firstRowFirstColumn="0" w:firstRowLastColumn="0" w:lastRowFirstColumn="0" w:lastRowLastColumn="0"/>
          <w:cantSplit/>
          <w:trHeight w:val="672"/>
        </w:trPr>
        <w:tc>
          <w:tcPr>
            <w:cnfStyle w:val="001000000000" w:firstRow="0" w:lastRow="0" w:firstColumn="1" w:lastColumn="0" w:oddVBand="0" w:evenVBand="0" w:oddHBand="0" w:evenHBand="0" w:firstRowFirstColumn="0" w:firstRowLastColumn="0" w:lastRowFirstColumn="0" w:lastRowLastColumn="0"/>
            <w:tcW w:w="705" w:type="pct"/>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73BAEAC9" w14:textId="77777777" w:rsidR="00D57AA9" w:rsidRPr="00A07DD3" w:rsidRDefault="00D57AA9" w:rsidP="00F05000">
            <w:pPr>
              <w:spacing w:before="120" w:after="120"/>
              <w:rPr>
                <w:rFonts w:asciiTheme="minorHAnsi" w:hAnsiTheme="minorHAnsi" w:cstheme="minorHAnsi"/>
                <w:b w:val="0"/>
                <w:bCs w:val="0"/>
                <w:sz w:val="20"/>
                <w:szCs w:val="20"/>
              </w:rPr>
            </w:pPr>
            <w:r w:rsidRPr="00A07DD3">
              <w:rPr>
                <w:rFonts w:asciiTheme="minorHAnsi" w:hAnsiTheme="minorHAnsi" w:cstheme="minorHAnsi"/>
                <w:b w:val="0"/>
                <w:bCs w:val="0"/>
                <w:sz w:val="20"/>
                <w:szCs w:val="20"/>
              </w:rPr>
              <w:t>Share of households with young children</w:t>
            </w:r>
          </w:p>
        </w:tc>
        <w:tc>
          <w:tcPr>
            <w:tcW w:w="470"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64CE269D" w14:textId="77777777" w:rsidR="00D57AA9" w:rsidRPr="00F77F62" w:rsidRDefault="00D57AA9" w:rsidP="00F05000">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F77F62">
              <w:rPr>
                <w:rFonts w:asciiTheme="minorHAnsi" w:hAnsiTheme="minorHAnsi" w:cstheme="minorHAnsi"/>
                <w:bCs/>
                <w:sz w:val="20"/>
                <w:szCs w:val="20"/>
              </w:rPr>
              <w:t>10.2%</w:t>
            </w:r>
          </w:p>
        </w:tc>
        <w:tc>
          <w:tcPr>
            <w:tcW w:w="593"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53AC5024" w14:textId="77777777" w:rsidR="00D57AA9" w:rsidRPr="00F77F62" w:rsidRDefault="00D57AA9" w:rsidP="00F0500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F77F62">
              <w:rPr>
                <w:rFonts w:asciiTheme="minorHAnsi" w:hAnsiTheme="minorHAnsi" w:cstheme="minorHAnsi"/>
                <w:bCs/>
                <w:sz w:val="20"/>
                <w:szCs w:val="20"/>
              </w:rPr>
              <w:t>-</w:t>
            </w:r>
          </w:p>
        </w:tc>
        <w:tc>
          <w:tcPr>
            <w:tcW w:w="3232" w:type="pct"/>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148B5FA1" w14:textId="77777777" w:rsidR="00D57AA9" w:rsidRPr="00F77F62" w:rsidRDefault="00D57AA9" w:rsidP="00F0500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F77F62">
              <w:rPr>
                <w:rFonts w:asciiTheme="minorHAnsi" w:hAnsiTheme="minorHAnsi" w:cstheme="minorHAnsi"/>
                <w:bCs/>
                <w:sz w:val="20"/>
                <w:szCs w:val="20"/>
              </w:rPr>
              <w:t>Obtained by dividing households with young children (no.) by Australian households (no.)</w:t>
            </w:r>
          </w:p>
        </w:tc>
      </w:tr>
      <w:tr w:rsidR="00A07DD3" w:rsidRPr="00F77F62" w14:paraId="58B726A4" w14:textId="77777777" w:rsidTr="00274317">
        <w:trPr>
          <w:cantSplit/>
          <w:trHeight w:val="677"/>
        </w:trPr>
        <w:tc>
          <w:tcPr>
            <w:cnfStyle w:val="001000000000" w:firstRow="0" w:lastRow="0" w:firstColumn="1" w:lastColumn="0" w:oddVBand="0" w:evenVBand="0" w:oddHBand="0" w:evenHBand="0" w:firstRowFirstColumn="0" w:firstRowLastColumn="0" w:lastRowFirstColumn="0" w:lastRowLastColumn="0"/>
            <w:tcW w:w="705" w:type="pct"/>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58244001" w14:textId="77777777" w:rsidR="00D57AA9" w:rsidRPr="00A07DD3" w:rsidRDefault="00D57AA9" w:rsidP="00F05000">
            <w:pPr>
              <w:spacing w:before="120" w:after="120"/>
              <w:rPr>
                <w:rFonts w:asciiTheme="minorHAnsi" w:hAnsiTheme="minorHAnsi" w:cstheme="minorHAnsi"/>
                <w:b w:val="0"/>
                <w:bCs w:val="0"/>
                <w:sz w:val="20"/>
                <w:szCs w:val="20"/>
              </w:rPr>
            </w:pPr>
            <w:r w:rsidRPr="00A07DD3">
              <w:rPr>
                <w:rFonts w:asciiTheme="minorHAnsi" w:hAnsiTheme="minorHAnsi" w:cstheme="minorHAnsi"/>
                <w:b w:val="0"/>
                <w:bCs w:val="0"/>
                <w:sz w:val="20"/>
                <w:szCs w:val="20"/>
              </w:rPr>
              <w:t>At-risk furniture per household (no.)</w:t>
            </w:r>
          </w:p>
        </w:tc>
        <w:tc>
          <w:tcPr>
            <w:tcW w:w="470"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01B83B69" w14:textId="77777777" w:rsidR="00D57AA9" w:rsidRPr="00F77F62" w:rsidRDefault="00D57AA9" w:rsidP="00F05000">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F77F62">
              <w:rPr>
                <w:rFonts w:asciiTheme="minorHAnsi" w:hAnsiTheme="minorHAnsi" w:cstheme="minorHAnsi"/>
                <w:bCs/>
                <w:sz w:val="20"/>
                <w:szCs w:val="20"/>
              </w:rPr>
              <w:t>4.5</w:t>
            </w:r>
          </w:p>
        </w:tc>
        <w:tc>
          <w:tcPr>
            <w:tcW w:w="593"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13CBE4D8" w14:textId="77777777" w:rsidR="00D57AA9" w:rsidRPr="00F77F62" w:rsidRDefault="00D57AA9" w:rsidP="00F0500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F77F62">
              <w:rPr>
                <w:rFonts w:asciiTheme="minorHAnsi" w:hAnsiTheme="minorHAnsi" w:cstheme="minorHAnsi"/>
                <w:bCs/>
                <w:sz w:val="20"/>
                <w:szCs w:val="20"/>
              </w:rPr>
              <w:t>Assumption</w:t>
            </w:r>
          </w:p>
        </w:tc>
        <w:tc>
          <w:tcPr>
            <w:tcW w:w="3232" w:type="pct"/>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1016E0B5" w14:textId="77777777" w:rsidR="00D57AA9" w:rsidRPr="00F77F62" w:rsidRDefault="00D57AA9" w:rsidP="00F0500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F77F62">
              <w:rPr>
                <w:rFonts w:asciiTheme="minorHAnsi" w:hAnsiTheme="minorHAnsi" w:cstheme="minorHAnsi"/>
                <w:bCs/>
                <w:sz w:val="20"/>
                <w:szCs w:val="20"/>
              </w:rPr>
              <w:t>Assumes every household has at least 1 chest of drawers, 1 free-standing wardrobe and 1 shelving unit, with between 1 and 2 of these items duplicated in the household</w:t>
            </w:r>
          </w:p>
        </w:tc>
      </w:tr>
      <w:tr w:rsidR="00A07DD3" w:rsidRPr="00F77F62" w14:paraId="5293CE58" w14:textId="77777777" w:rsidTr="00274317">
        <w:trPr>
          <w:cnfStyle w:val="000000100000" w:firstRow="0" w:lastRow="0" w:firstColumn="0" w:lastColumn="0" w:oddVBand="0" w:evenVBand="0" w:oddHBand="1" w:evenHBand="0" w:firstRowFirstColumn="0" w:firstRowLastColumn="0" w:lastRowFirstColumn="0" w:lastRowLastColumn="0"/>
          <w:cantSplit/>
          <w:trHeight w:val="1714"/>
        </w:trPr>
        <w:tc>
          <w:tcPr>
            <w:cnfStyle w:val="001000000000" w:firstRow="0" w:lastRow="0" w:firstColumn="1" w:lastColumn="0" w:oddVBand="0" w:evenVBand="0" w:oddHBand="0" w:evenHBand="0" w:firstRowFirstColumn="0" w:firstRowLastColumn="0" w:lastRowFirstColumn="0" w:lastRowLastColumn="0"/>
            <w:tcW w:w="705" w:type="pct"/>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055245D6" w14:textId="77777777" w:rsidR="00D57AA9" w:rsidRPr="00A07DD3" w:rsidRDefault="00D57AA9" w:rsidP="00F05000">
            <w:pPr>
              <w:spacing w:before="120" w:after="120"/>
              <w:rPr>
                <w:rFonts w:asciiTheme="minorHAnsi" w:hAnsiTheme="minorHAnsi" w:cstheme="minorHAnsi"/>
                <w:b w:val="0"/>
                <w:bCs w:val="0"/>
                <w:sz w:val="20"/>
                <w:szCs w:val="20"/>
              </w:rPr>
            </w:pPr>
            <w:r w:rsidRPr="00A07DD3">
              <w:rPr>
                <w:rFonts w:asciiTheme="minorHAnsi" w:hAnsiTheme="minorHAnsi" w:cstheme="minorHAnsi"/>
                <w:b w:val="0"/>
                <w:bCs w:val="0"/>
                <w:sz w:val="20"/>
                <w:szCs w:val="20"/>
              </w:rPr>
              <w:t>Existing furniture exchanged for new furniture by households per year (%)</w:t>
            </w:r>
          </w:p>
        </w:tc>
        <w:tc>
          <w:tcPr>
            <w:tcW w:w="470"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404DD791" w14:textId="77777777" w:rsidR="00D57AA9" w:rsidRPr="00F77F62" w:rsidRDefault="00D57AA9" w:rsidP="00F05000">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F77F62">
              <w:rPr>
                <w:rFonts w:asciiTheme="minorHAnsi" w:hAnsiTheme="minorHAnsi" w:cstheme="minorHAnsi"/>
                <w:bCs/>
                <w:sz w:val="20"/>
                <w:szCs w:val="20"/>
              </w:rPr>
              <w:t>10%</w:t>
            </w:r>
          </w:p>
        </w:tc>
        <w:tc>
          <w:tcPr>
            <w:tcW w:w="593"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0553B1B1" w14:textId="77777777" w:rsidR="00D57AA9" w:rsidRPr="00F77F62" w:rsidRDefault="00D57AA9" w:rsidP="00F0500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F77F62">
              <w:rPr>
                <w:rFonts w:asciiTheme="minorHAnsi" w:hAnsiTheme="minorHAnsi" w:cstheme="minorHAnsi"/>
                <w:bCs/>
                <w:sz w:val="20"/>
                <w:szCs w:val="20"/>
              </w:rPr>
              <w:t>Assumption</w:t>
            </w:r>
          </w:p>
        </w:tc>
        <w:tc>
          <w:tcPr>
            <w:tcW w:w="3232" w:type="pct"/>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76D488DF" w14:textId="3F8233E5" w:rsidR="00D57AA9" w:rsidRPr="00F77F62" w:rsidRDefault="00D57AA9" w:rsidP="00F0500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F77F62">
              <w:rPr>
                <w:rFonts w:asciiTheme="minorHAnsi" w:hAnsiTheme="minorHAnsi" w:cstheme="minorHAnsi"/>
                <w:bCs/>
                <w:sz w:val="20"/>
                <w:szCs w:val="20"/>
              </w:rPr>
              <w:t>Assumes that nationwide, Australian households will replace 10% of their existing furniture with new furniture each year</w:t>
            </w:r>
          </w:p>
        </w:tc>
      </w:tr>
      <w:tr w:rsidR="00A07DD3" w:rsidRPr="00F77F62" w14:paraId="1102749E" w14:textId="77777777" w:rsidTr="00274317">
        <w:trPr>
          <w:cantSplit/>
          <w:trHeight w:val="1204"/>
        </w:trPr>
        <w:tc>
          <w:tcPr>
            <w:cnfStyle w:val="001000000000" w:firstRow="0" w:lastRow="0" w:firstColumn="1" w:lastColumn="0" w:oddVBand="0" w:evenVBand="0" w:oddHBand="0" w:evenHBand="0" w:firstRowFirstColumn="0" w:firstRowLastColumn="0" w:lastRowFirstColumn="0" w:lastRowLastColumn="0"/>
            <w:tcW w:w="705" w:type="pct"/>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0B5FDF36" w14:textId="77777777" w:rsidR="00D57AA9" w:rsidRPr="00A07DD3" w:rsidRDefault="00D57AA9" w:rsidP="00F05000">
            <w:pPr>
              <w:spacing w:before="120" w:after="120"/>
              <w:rPr>
                <w:rFonts w:asciiTheme="minorHAnsi" w:hAnsiTheme="minorHAnsi" w:cstheme="minorHAnsi"/>
                <w:b w:val="0"/>
                <w:bCs w:val="0"/>
                <w:sz w:val="20"/>
                <w:szCs w:val="20"/>
              </w:rPr>
            </w:pPr>
            <w:r w:rsidRPr="00A07DD3">
              <w:rPr>
                <w:rFonts w:asciiTheme="minorHAnsi" w:hAnsiTheme="minorHAnsi" w:cstheme="minorHAnsi"/>
                <w:b w:val="0"/>
                <w:bCs w:val="0"/>
                <w:sz w:val="20"/>
                <w:szCs w:val="20"/>
              </w:rPr>
              <w:t>Deaths per year (status quo) (no.)</w:t>
            </w:r>
          </w:p>
        </w:tc>
        <w:tc>
          <w:tcPr>
            <w:tcW w:w="470"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7802DAE7" w14:textId="77777777" w:rsidR="00D57AA9" w:rsidRPr="00F77F62" w:rsidRDefault="00D57AA9" w:rsidP="00F05000">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F77F62">
              <w:rPr>
                <w:rFonts w:asciiTheme="minorHAnsi" w:hAnsiTheme="minorHAnsi" w:cstheme="minorHAnsi"/>
                <w:bCs/>
                <w:sz w:val="20"/>
                <w:szCs w:val="20"/>
              </w:rPr>
              <w:t>1.5</w:t>
            </w:r>
          </w:p>
        </w:tc>
        <w:tc>
          <w:tcPr>
            <w:tcW w:w="593"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2094CA47" w14:textId="7CBA0BAF" w:rsidR="00D57AA9" w:rsidRPr="00F77F62" w:rsidRDefault="00254AB5" w:rsidP="00F0500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hyperlink r:id="rId43" w:history="1">
              <w:r w:rsidR="00D57AA9" w:rsidRPr="00F77F62">
                <w:rPr>
                  <w:rStyle w:val="Hyperlink"/>
                  <w:rFonts w:asciiTheme="minorHAnsi" w:hAnsiTheme="minorHAnsi" w:cstheme="minorHAnsi"/>
                  <w:sz w:val="20"/>
                  <w:szCs w:val="20"/>
                </w:rPr>
                <w:t>Consultation paper</w:t>
              </w:r>
            </w:hyperlink>
            <w:r w:rsidR="00D57AA9" w:rsidRPr="00F77F62">
              <w:rPr>
                <w:rFonts w:asciiTheme="minorHAnsi" w:hAnsiTheme="minorHAnsi" w:cstheme="minorHAnsi"/>
                <w:sz w:val="20"/>
                <w:szCs w:val="20"/>
              </w:rPr>
              <w:t xml:space="preserve"> (</w:t>
            </w:r>
            <w:r w:rsidR="002C6D73">
              <w:rPr>
                <w:rFonts w:asciiTheme="minorHAnsi" w:hAnsiTheme="minorHAnsi" w:cstheme="minorHAnsi"/>
                <w:sz w:val="20"/>
                <w:szCs w:val="20"/>
              </w:rPr>
              <w:t>ATTM</w:t>
            </w:r>
            <w:r w:rsidR="002C6D73" w:rsidRPr="00F77F62">
              <w:rPr>
                <w:rFonts w:asciiTheme="minorHAnsi" w:hAnsiTheme="minorHAnsi" w:cstheme="minorHAnsi"/>
                <w:sz w:val="20"/>
                <w:szCs w:val="20"/>
              </w:rPr>
              <w:t xml:space="preserve"> </w:t>
            </w:r>
            <w:r w:rsidR="00D57AA9" w:rsidRPr="00F77F62">
              <w:rPr>
                <w:rFonts w:asciiTheme="minorHAnsi" w:hAnsiTheme="minorHAnsi" w:cstheme="minorHAnsi"/>
                <w:sz w:val="20"/>
                <w:szCs w:val="20"/>
              </w:rPr>
              <w:t>B, Table 9)</w:t>
            </w:r>
          </w:p>
        </w:tc>
        <w:tc>
          <w:tcPr>
            <w:tcW w:w="3232" w:type="pct"/>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0720D11A" w14:textId="010DADD7" w:rsidR="00D57AA9" w:rsidRPr="00F77F62" w:rsidRDefault="00D57AA9" w:rsidP="00F0500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F77F62">
              <w:rPr>
                <w:rFonts w:asciiTheme="minorHAnsi" w:hAnsiTheme="minorHAnsi" w:cstheme="minorHAnsi"/>
                <w:bCs/>
                <w:sz w:val="20"/>
                <w:szCs w:val="20"/>
              </w:rPr>
              <w:t>The projected 14 deaths over the next decade has been rounded up to 15. Divided by 10 to give an annual estimate provides 1.5 deaths per year (or 3 deaths every 2 years)</w:t>
            </w:r>
          </w:p>
        </w:tc>
      </w:tr>
      <w:tr w:rsidR="00A07DD3" w:rsidRPr="00F77F62" w14:paraId="152CE11B" w14:textId="77777777" w:rsidTr="00274317">
        <w:trPr>
          <w:cnfStyle w:val="000000100000" w:firstRow="0" w:lastRow="0" w:firstColumn="0" w:lastColumn="0" w:oddVBand="0" w:evenVBand="0" w:oddHBand="1" w:evenHBand="0" w:firstRowFirstColumn="0" w:firstRowLastColumn="0" w:lastRowFirstColumn="0" w:lastRowLastColumn="0"/>
          <w:cantSplit/>
          <w:trHeight w:val="945"/>
        </w:trPr>
        <w:tc>
          <w:tcPr>
            <w:cnfStyle w:val="001000000000" w:firstRow="0" w:lastRow="0" w:firstColumn="1" w:lastColumn="0" w:oddVBand="0" w:evenVBand="0" w:oddHBand="0" w:evenHBand="0" w:firstRowFirstColumn="0" w:firstRowLastColumn="0" w:lastRowFirstColumn="0" w:lastRowLastColumn="0"/>
            <w:tcW w:w="705" w:type="pct"/>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26407E48" w14:textId="77777777" w:rsidR="00D57AA9" w:rsidRPr="00A07DD3" w:rsidRDefault="00D57AA9" w:rsidP="00F05000">
            <w:pPr>
              <w:spacing w:before="120" w:after="120"/>
              <w:rPr>
                <w:rFonts w:asciiTheme="minorHAnsi" w:hAnsiTheme="minorHAnsi" w:cstheme="minorHAnsi"/>
                <w:b w:val="0"/>
                <w:bCs w:val="0"/>
                <w:sz w:val="20"/>
                <w:szCs w:val="20"/>
              </w:rPr>
            </w:pPr>
            <w:r w:rsidRPr="00A07DD3">
              <w:rPr>
                <w:rFonts w:asciiTheme="minorHAnsi" w:hAnsiTheme="minorHAnsi" w:cstheme="minorHAnsi"/>
                <w:b w:val="0"/>
                <w:bCs w:val="0"/>
                <w:sz w:val="20"/>
                <w:szCs w:val="20"/>
              </w:rPr>
              <w:t>Injuries per year (status quo) (no.)</w:t>
            </w:r>
          </w:p>
        </w:tc>
        <w:tc>
          <w:tcPr>
            <w:tcW w:w="470"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1339626E" w14:textId="77777777" w:rsidR="00D57AA9" w:rsidRPr="00F77F62" w:rsidRDefault="00D57AA9" w:rsidP="00F05000">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F77F62">
              <w:rPr>
                <w:rFonts w:asciiTheme="minorHAnsi" w:hAnsiTheme="minorHAnsi" w:cstheme="minorHAnsi"/>
                <w:bCs/>
                <w:sz w:val="20"/>
                <w:szCs w:val="20"/>
              </w:rPr>
              <w:t>1,000</w:t>
            </w:r>
          </w:p>
        </w:tc>
        <w:tc>
          <w:tcPr>
            <w:tcW w:w="593"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1B81DA5F" w14:textId="487F3720" w:rsidR="00D57AA9" w:rsidRPr="00F77F62" w:rsidRDefault="00254AB5" w:rsidP="00F0500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hyperlink r:id="rId44" w:history="1">
              <w:r w:rsidR="00D57AA9" w:rsidRPr="00F77F62">
                <w:rPr>
                  <w:rStyle w:val="Hyperlink"/>
                  <w:rFonts w:asciiTheme="minorHAnsi" w:hAnsiTheme="minorHAnsi" w:cstheme="minorHAnsi"/>
                  <w:sz w:val="20"/>
                  <w:szCs w:val="20"/>
                </w:rPr>
                <w:t>Consultation paper</w:t>
              </w:r>
            </w:hyperlink>
            <w:r w:rsidR="00D57AA9" w:rsidRPr="00F77F62">
              <w:rPr>
                <w:rFonts w:asciiTheme="minorHAnsi" w:hAnsiTheme="minorHAnsi" w:cstheme="minorHAnsi"/>
                <w:sz w:val="20"/>
                <w:szCs w:val="20"/>
              </w:rPr>
              <w:t xml:space="preserve"> (</w:t>
            </w:r>
            <w:r w:rsidR="002C6D73">
              <w:rPr>
                <w:rFonts w:asciiTheme="minorHAnsi" w:hAnsiTheme="minorHAnsi" w:cstheme="minorHAnsi"/>
                <w:sz w:val="20"/>
                <w:szCs w:val="20"/>
              </w:rPr>
              <w:t>ATTM</w:t>
            </w:r>
            <w:r w:rsidR="002C6D73" w:rsidRPr="00F77F62">
              <w:rPr>
                <w:rFonts w:asciiTheme="minorHAnsi" w:hAnsiTheme="minorHAnsi" w:cstheme="minorHAnsi"/>
                <w:sz w:val="20"/>
                <w:szCs w:val="20"/>
              </w:rPr>
              <w:t xml:space="preserve"> </w:t>
            </w:r>
            <w:r w:rsidR="00D57AA9" w:rsidRPr="00F77F62">
              <w:rPr>
                <w:rFonts w:asciiTheme="minorHAnsi" w:hAnsiTheme="minorHAnsi" w:cstheme="minorHAnsi"/>
                <w:sz w:val="20"/>
                <w:szCs w:val="20"/>
              </w:rPr>
              <w:t>B, Table 8)</w:t>
            </w:r>
          </w:p>
        </w:tc>
        <w:tc>
          <w:tcPr>
            <w:tcW w:w="3232" w:type="pct"/>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5FA34221" w14:textId="04D2B5D3" w:rsidR="00D57AA9" w:rsidRPr="00F77F62" w:rsidRDefault="00D57AA9" w:rsidP="00F0500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F77F62">
              <w:rPr>
                <w:rFonts w:asciiTheme="minorHAnsi" w:hAnsiTheme="minorHAnsi" w:cstheme="minorHAnsi"/>
                <w:bCs/>
                <w:sz w:val="20"/>
                <w:szCs w:val="20"/>
              </w:rPr>
              <w:t>The projected 9,835 injuries over the next decade has been rounded up to 10,000. Divided by 10 provides 1,000 injuries per year</w:t>
            </w:r>
          </w:p>
        </w:tc>
      </w:tr>
      <w:tr w:rsidR="00A07DD3" w:rsidRPr="00F77F62" w14:paraId="02DC561C" w14:textId="77777777" w:rsidTr="00274317">
        <w:trPr>
          <w:cantSplit/>
          <w:trHeight w:val="681"/>
        </w:trPr>
        <w:tc>
          <w:tcPr>
            <w:cnfStyle w:val="001000000000" w:firstRow="0" w:lastRow="0" w:firstColumn="1" w:lastColumn="0" w:oddVBand="0" w:evenVBand="0" w:oddHBand="0" w:evenHBand="0" w:firstRowFirstColumn="0" w:firstRowLastColumn="0" w:lastRowFirstColumn="0" w:lastRowLastColumn="0"/>
            <w:tcW w:w="705" w:type="pct"/>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75C4789C" w14:textId="77777777" w:rsidR="00D57AA9" w:rsidRPr="00A07DD3" w:rsidRDefault="00D57AA9" w:rsidP="00F05000">
            <w:pPr>
              <w:spacing w:before="120" w:after="120"/>
              <w:rPr>
                <w:rFonts w:asciiTheme="minorHAnsi" w:hAnsiTheme="minorHAnsi" w:cstheme="minorHAnsi"/>
                <w:b w:val="0"/>
                <w:bCs w:val="0"/>
                <w:sz w:val="20"/>
                <w:szCs w:val="20"/>
              </w:rPr>
            </w:pPr>
            <w:r w:rsidRPr="00A07DD3">
              <w:rPr>
                <w:rFonts w:asciiTheme="minorHAnsi" w:hAnsiTheme="minorHAnsi" w:cstheme="minorHAnsi"/>
                <w:b w:val="0"/>
                <w:bCs w:val="0"/>
                <w:sz w:val="20"/>
                <w:szCs w:val="20"/>
              </w:rPr>
              <w:t>Cost per death ($)</w:t>
            </w:r>
          </w:p>
        </w:tc>
        <w:tc>
          <w:tcPr>
            <w:tcW w:w="470"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0D53F488" w14:textId="77777777" w:rsidR="00D57AA9" w:rsidRPr="00F77F62" w:rsidRDefault="00D57AA9" w:rsidP="00F05000">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F77F62">
              <w:rPr>
                <w:rFonts w:asciiTheme="minorHAnsi" w:hAnsiTheme="minorHAnsi" w:cstheme="minorHAnsi"/>
                <w:bCs/>
                <w:sz w:val="20"/>
                <w:szCs w:val="20"/>
              </w:rPr>
              <w:t>$5,000,000</w:t>
            </w:r>
          </w:p>
        </w:tc>
        <w:tc>
          <w:tcPr>
            <w:tcW w:w="593"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68D8C29F" w14:textId="5372A3D6" w:rsidR="00D57AA9" w:rsidRPr="00F77F62" w:rsidRDefault="00254AB5" w:rsidP="00F0500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hyperlink r:id="rId45" w:history="1">
              <w:r w:rsidR="00D57AA9" w:rsidRPr="00F77F62">
                <w:rPr>
                  <w:rStyle w:val="Hyperlink"/>
                  <w:rFonts w:asciiTheme="minorHAnsi" w:hAnsiTheme="minorHAnsi" w:cstheme="minorHAnsi"/>
                  <w:sz w:val="20"/>
                  <w:szCs w:val="20"/>
                </w:rPr>
                <w:t>Consultation paper</w:t>
              </w:r>
            </w:hyperlink>
            <w:r w:rsidR="00D57AA9" w:rsidRPr="00F77F62">
              <w:rPr>
                <w:rFonts w:asciiTheme="minorHAnsi" w:hAnsiTheme="minorHAnsi" w:cstheme="minorHAnsi"/>
                <w:sz w:val="20"/>
                <w:szCs w:val="20"/>
              </w:rPr>
              <w:t xml:space="preserve"> (</w:t>
            </w:r>
            <w:r w:rsidR="002C6D73">
              <w:rPr>
                <w:rFonts w:asciiTheme="minorHAnsi" w:hAnsiTheme="minorHAnsi" w:cstheme="minorHAnsi"/>
                <w:sz w:val="20"/>
                <w:szCs w:val="20"/>
              </w:rPr>
              <w:t>ATTM</w:t>
            </w:r>
            <w:r w:rsidR="002C6D73" w:rsidRPr="00F77F62">
              <w:rPr>
                <w:rFonts w:asciiTheme="minorHAnsi" w:hAnsiTheme="minorHAnsi" w:cstheme="minorHAnsi"/>
                <w:sz w:val="20"/>
                <w:szCs w:val="20"/>
              </w:rPr>
              <w:t xml:space="preserve"> </w:t>
            </w:r>
            <w:r w:rsidR="00D57AA9" w:rsidRPr="00F77F62">
              <w:rPr>
                <w:rFonts w:asciiTheme="minorHAnsi" w:hAnsiTheme="minorHAnsi" w:cstheme="minorHAnsi"/>
                <w:sz w:val="20"/>
                <w:szCs w:val="20"/>
              </w:rPr>
              <w:t>B)</w:t>
            </w:r>
          </w:p>
        </w:tc>
        <w:tc>
          <w:tcPr>
            <w:tcW w:w="3232" w:type="pct"/>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5EAF36F6" w14:textId="3A4ACEED" w:rsidR="00D57AA9" w:rsidRPr="00F77F62" w:rsidRDefault="00D57AA9" w:rsidP="00F0500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F77F62">
              <w:rPr>
                <w:rFonts w:asciiTheme="minorHAnsi" w:hAnsiTheme="minorHAnsi" w:cstheme="minorHAnsi"/>
                <w:bCs/>
                <w:sz w:val="20"/>
                <w:szCs w:val="20"/>
              </w:rPr>
              <w:t xml:space="preserve">“The Office of </w:t>
            </w:r>
            <w:r w:rsidR="00B25136" w:rsidRPr="00B25136">
              <w:rPr>
                <w:rFonts w:asciiTheme="minorHAnsi" w:hAnsiTheme="minorHAnsi" w:cstheme="minorHAnsi"/>
                <w:bCs/>
                <w:sz w:val="20"/>
                <w:szCs w:val="20"/>
              </w:rPr>
              <w:t>Impact Analysis</w:t>
            </w:r>
            <w:r w:rsidRPr="00F77F62">
              <w:rPr>
                <w:rFonts w:asciiTheme="minorHAnsi" w:hAnsiTheme="minorHAnsi" w:cstheme="minorHAnsi"/>
                <w:bCs/>
                <w:sz w:val="20"/>
                <w:szCs w:val="20"/>
              </w:rPr>
              <w:t xml:space="preserve"> estimates the value of statistical life (VSL) at $5.1m”. This has been rounded down to $5m for simplicity</w:t>
            </w:r>
          </w:p>
        </w:tc>
      </w:tr>
      <w:tr w:rsidR="00A07DD3" w:rsidRPr="00F77F62" w14:paraId="542BE262" w14:textId="77777777" w:rsidTr="00274317">
        <w:trPr>
          <w:cnfStyle w:val="000000100000" w:firstRow="0" w:lastRow="0" w:firstColumn="0" w:lastColumn="0" w:oddVBand="0" w:evenVBand="0" w:oddHBand="1" w:evenHBand="0" w:firstRowFirstColumn="0" w:firstRowLastColumn="0" w:lastRowFirstColumn="0" w:lastRowLastColumn="0"/>
          <w:cantSplit/>
          <w:trHeight w:val="954"/>
        </w:trPr>
        <w:tc>
          <w:tcPr>
            <w:cnfStyle w:val="001000000000" w:firstRow="0" w:lastRow="0" w:firstColumn="1" w:lastColumn="0" w:oddVBand="0" w:evenVBand="0" w:oddHBand="0" w:evenHBand="0" w:firstRowFirstColumn="0" w:firstRowLastColumn="0" w:lastRowFirstColumn="0" w:lastRowLastColumn="0"/>
            <w:tcW w:w="705" w:type="pct"/>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59E0225F" w14:textId="77777777" w:rsidR="00D57AA9" w:rsidRPr="00A07DD3" w:rsidRDefault="00D57AA9" w:rsidP="00F05000">
            <w:pPr>
              <w:spacing w:before="120" w:after="120"/>
              <w:rPr>
                <w:rFonts w:asciiTheme="minorHAnsi" w:hAnsiTheme="minorHAnsi" w:cstheme="minorHAnsi"/>
                <w:b w:val="0"/>
                <w:bCs w:val="0"/>
                <w:sz w:val="20"/>
                <w:szCs w:val="20"/>
              </w:rPr>
            </w:pPr>
            <w:r w:rsidRPr="00A07DD3">
              <w:rPr>
                <w:rFonts w:asciiTheme="minorHAnsi" w:hAnsiTheme="minorHAnsi" w:cstheme="minorHAnsi"/>
                <w:b w:val="0"/>
                <w:bCs w:val="0"/>
                <w:sz w:val="20"/>
                <w:szCs w:val="20"/>
              </w:rPr>
              <w:t>Cost per injury ($)</w:t>
            </w:r>
          </w:p>
        </w:tc>
        <w:tc>
          <w:tcPr>
            <w:tcW w:w="470"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06938B2E" w14:textId="77777777" w:rsidR="00D57AA9" w:rsidRPr="00F77F62" w:rsidRDefault="00D57AA9" w:rsidP="00F05000">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77F62">
              <w:rPr>
                <w:rFonts w:asciiTheme="minorHAnsi" w:hAnsiTheme="minorHAnsi" w:cstheme="minorHAnsi"/>
                <w:sz w:val="20"/>
                <w:szCs w:val="20"/>
              </w:rPr>
              <w:t>$750</w:t>
            </w:r>
          </w:p>
        </w:tc>
        <w:tc>
          <w:tcPr>
            <w:tcW w:w="593"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654F2712" w14:textId="70042114" w:rsidR="00D57AA9" w:rsidRPr="00F77F62" w:rsidRDefault="00254AB5" w:rsidP="00F0500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46" w:history="1">
              <w:r w:rsidR="00D57AA9" w:rsidRPr="00F77F62">
                <w:rPr>
                  <w:rStyle w:val="Hyperlink"/>
                  <w:rFonts w:asciiTheme="minorHAnsi" w:hAnsiTheme="minorHAnsi" w:cstheme="minorHAnsi"/>
                  <w:sz w:val="20"/>
                  <w:szCs w:val="20"/>
                </w:rPr>
                <w:t>Consultation paper</w:t>
              </w:r>
            </w:hyperlink>
            <w:r w:rsidR="00D57AA9" w:rsidRPr="00F77F62">
              <w:rPr>
                <w:rFonts w:asciiTheme="minorHAnsi" w:hAnsiTheme="minorHAnsi" w:cstheme="minorHAnsi"/>
                <w:sz w:val="20"/>
                <w:szCs w:val="20"/>
              </w:rPr>
              <w:t xml:space="preserve"> (</w:t>
            </w:r>
            <w:r w:rsidR="002C6D73">
              <w:rPr>
                <w:rFonts w:asciiTheme="minorHAnsi" w:hAnsiTheme="minorHAnsi" w:cstheme="minorHAnsi"/>
                <w:sz w:val="20"/>
                <w:szCs w:val="20"/>
              </w:rPr>
              <w:t>ATTM</w:t>
            </w:r>
            <w:r w:rsidR="002C6D73" w:rsidRPr="00F77F62">
              <w:rPr>
                <w:rFonts w:asciiTheme="minorHAnsi" w:hAnsiTheme="minorHAnsi" w:cstheme="minorHAnsi"/>
                <w:sz w:val="20"/>
                <w:szCs w:val="20"/>
              </w:rPr>
              <w:t xml:space="preserve"> </w:t>
            </w:r>
            <w:r w:rsidR="00D57AA9" w:rsidRPr="00F77F62">
              <w:rPr>
                <w:rFonts w:asciiTheme="minorHAnsi" w:hAnsiTheme="minorHAnsi" w:cstheme="minorHAnsi"/>
                <w:sz w:val="20"/>
                <w:szCs w:val="20"/>
              </w:rPr>
              <w:t>B, Table 8)</w:t>
            </w:r>
          </w:p>
        </w:tc>
        <w:tc>
          <w:tcPr>
            <w:tcW w:w="3232" w:type="pct"/>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289AC2B2" w14:textId="726E75E5" w:rsidR="00D57AA9" w:rsidRPr="00F77F62" w:rsidRDefault="00D57AA9" w:rsidP="00F0500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77F62">
              <w:rPr>
                <w:rFonts w:asciiTheme="minorHAnsi" w:hAnsiTheme="minorHAnsi" w:cstheme="minorHAnsi"/>
                <w:sz w:val="20"/>
                <w:szCs w:val="20"/>
              </w:rPr>
              <w:t>The estimated cost of each injury, calculated at $731.98 (obtained by dividing the ten-year estimated cost of ED presentation, $7,199,038 by the ten-year forecast injuries, 9,835), has been rounded up to $750 for simplicity</w:t>
            </w:r>
          </w:p>
        </w:tc>
      </w:tr>
      <w:tr w:rsidR="002C6D73" w:rsidRPr="00F77F62" w14:paraId="6CF726C0" w14:textId="77777777" w:rsidTr="00274317">
        <w:trPr>
          <w:cantSplit/>
          <w:trHeight w:val="798"/>
        </w:trPr>
        <w:tc>
          <w:tcPr>
            <w:cnfStyle w:val="001000000000" w:firstRow="0" w:lastRow="0" w:firstColumn="1" w:lastColumn="0" w:oddVBand="0" w:evenVBand="0" w:oddHBand="0" w:evenHBand="0" w:firstRowFirstColumn="0" w:firstRowLastColumn="0" w:lastRowFirstColumn="0" w:lastRowLastColumn="0"/>
            <w:tcW w:w="705" w:type="pct"/>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32989A86" w14:textId="77777777" w:rsidR="00D57AA9" w:rsidRPr="00A07DD3" w:rsidRDefault="00D57AA9" w:rsidP="00F05000">
            <w:pPr>
              <w:spacing w:before="120" w:after="120"/>
              <w:rPr>
                <w:rFonts w:asciiTheme="minorHAnsi" w:hAnsiTheme="minorHAnsi" w:cstheme="minorHAnsi"/>
                <w:b w:val="0"/>
                <w:bCs w:val="0"/>
                <w:sz w:val="20"/>
                <w:szCs w:val="20"/>
              </w:rPr>
            </w:pPr>
            <w:r w:rsidRPr="00A07DD3">
              <w:rPr>
                <w:rFonts w:asciiTheme="minorHAnsi" w:hAnsiTheme="minorHAnsi" w:cstheme="minorHAnsi"/>
                <w:b w:val="0"/>
                <w:bCs w:val="0"/>
                <w:sz w:val="20"/>
                <w:szCs w:val="20"/>
              </w:rPr>
              <w:t>Reduction in deaths following intervention (%)</w:t>
            </w:r>
          </w:p>
        </w:tc>
        <w:tc>
          <w:tcPr>
            <w:tcW w:w="470"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236CE71D" w14:textId="77777777" w:rsidR="00D57AA9" w:rsidRPr="00F77F62" w:rsidRDefault="00D57AA9" w:rsidP="00F05000">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77F62">
              <w:rPr>
                <w:rFonts w:asciiTheme="minorHAnsi" w:hAnsiTheme="minorHAnsi" w:cstheme="minorHAnsi"/>
                <w:sz w:val="20"/>
                <w:szCs w:val="20"/>
              </w:rPr>
              <w:t>30%</w:t>
            </w:r>
          </w:p>
        </w:tc>
        <w:tc>
          <w:tcPr>
            <w:tcW w:w="593"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23EB149C" w14:textId="77777777" w:rsidR="00D57AA9" w:rsidRPr="00F77F62" w:rsidRDefault="00D57AA9" w:rsidP="00F0500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77F62">
              <w:rPr>
                <w:rFonts w:asciiTheme="minorHAnsi" w:hAnsiTheme="minorHAnsi" w:cstheme="minorHAnsi"/>
                <w:sz w:val="20"/>
                <w:szCs w:val="20"/>
              </w:rPr>
              <w:t>Assumption</w:t>
            </w:r>
          </w:p>
        </w:tc>
        <w:tc>
          <w:tcPr>
            <w:tcW w:w="3232" w:type="pct"/>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0C826CAE" w14:textId="12ADD0B6" w:rsidR="00D57AA9" w:rsidRPr="00F77F62" w:rsidRDefault="00D57AA9" w:rsidP="00F0500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77F62">
              <w:rPr>
                <w:rFonts w:asciiTheme="minorHAnsi" w:hAnsiTheme="minorHAnsi" w:cstheme="minorHAnsi"/>
                <w:sz w:val="20"/>
                <w:szCs w:val="20"/>
              </w:rPr>
              <w:t>Assumes that as awareness of the hazard increases, consumers may take measures to reduce the rate of incidents</w:t>
            </w:r>
          </w:p>
          <w:p w14:paraId="0290180C" w14:textId="40056FC6" w:rsidR="00D57AA9" w:rsidRPr="00F77F62" w:rsidRDefault="00D57AA9" w:rsidP="00F0500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C6D73" w:rsidRPr="00F77F62" w14:paraId="128B5695" w14:textId="77777777" w:rsidTr="00274317">
        <w:trPr>
          <w:cnfStyle w:val="000000100000" w:firstRow="0" w:lastRow="0" w:firstColumn="0" w:lastColumn="0" w:oddVBand="0" w:evenVBand="0" w:oddHBand="1" w:evenHBand="0" w:firstRowFirstColumn="0" w:firstRowLastColumn="0" w:lastRowFirstColumn="0" w:lastRowLastColumn="0"/>
          <w:cantSplit/>
          <w:trHeight w:val="869"/>
        </w:trPr>
        <w:tc>
          <w:tcPr>
            <w:cnfStyle w:val="001000000000" w:firstRow="0" w:lastRow="0" w:firstColumn="1" w:lastColumn="0" w:oddVBand="0" w:evenVBand="0" w:oddHBand="0" w:evenHBand="0" w:firstRowFirstColumn="0" w:firstRowLastColumn="0" w:lastRowFirstColumn="0" w:lastRowLastColumn="0"/>
            <w:tcW w:w="705" w:type="pct"/>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60967BE7" w14:textId="77777777" w:rsidR="00D57AA9" w:rsidRPr="00A07DD3" w:rsidRDefault="00D57AA9" w:rsidP="00F05000">
            <w:pPr>
              <w:spacing w:before="120" w:after="120"/>
              <w:rPr>
                <w:rFonts w:asciiTheme="minorHAnsi" w:hAnsiTheme="minorHAnsi" w:cstheme="minorHAnsi"/>
                <w:b w:val="0"/>
                <w:bCs w:val="0"/>
                <w:sz w:val="20"/>
                <w:szCs w:val="20"/>
              </w:rPr>
            </w:pPr>
            <w:r w:rsidRPr="00A07DD3">
              <w:rPr>
                <w:rFonts w:asciiTheme="minorHAnsi" w:hAnsiTheme="minorHAnsi" w:cstheme="minorHAnsi"/>
                <w:b w:val="0"/>
                <w:bCs w:val="0"/>
                <w:sz w:val="20"/>
                <w:szCs w:val="20"/>
              </w:rPr>
              <w:t>Reduction in injuries following intervention (%)</w:t>
            </w:r>
          </w:p>
        </w:tc>
        <w:tc>
          <w:tcPr>
            <w:tcW w:w="470"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081C29E8" w14:textId="77777777" w:rsidR="00D57AA9" w:rsidRPr="00F77F62" w:rsidRDefault="00D57AA9" w:rsidP="00F05000">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77F62">
              <w:rPr>
                <w:rFonts w:asciiTheme="minorHAnsi" w:hAnsiTheme="minorHAnsi" w:cstheme="minorHAnsi"/>
                <w:sz w:val="20"/>
                <w:szCs w:val="20"/>
              </w:rPr>
              <w:t>50%</w:t>
            </w:r>
          </w:p>
        </w:tc>
        <w:tc>
          <w:tcPr>
            <w:tcW w:w="593"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3B806CB8" w14:textId="77777777" w:rsidR="00D57AA9" w:rsidRPr="00F77F62" w:rsidRDefault="00D57AA9" w:rsidP="00F0500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77F62">
              <w:rPr>
                <w:rFonts w:asciiTheme="minorHAnsi" w:hAnsiTheme="minorHAnsi" w:cstheme="minorHAnsi"/>
                <w:sz w:val="20"/>
                <w:szCs w:val="20"/>
              </w:rPr>
              <w:t>Assumption</w:t>
            </w:r>
          </w:p>
        </w:tc>
        <w:tc>
          <w:tcPr>
            <w:tcW w:w="3232" w:type="pct"/>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48D7949A" w14:textId="312C9163" w:rsidR="00D57AA9" w:rsidRPr="00F77F62" w:rsidRDefault="00D57AA9" w:rsidP="00F0500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77F62">
              <w:rPr>
                <w:rFonts w:asciiTheme="minorHAnsi" w:hAnsiTheme="minorHAnsi" w:cstheme="minorHAnsi"/>
                <w:sz w:val="20"/>
                <w:szCs w:val="20"/>
              </w:rPr>
              <w:t>Assumes that as awareness of the hazard increases, consumers may take measures to reduce the rate of incidents</w:t>
            </w:r>
          </w:p>
          <w:p w14:paraId="116CB5E9" w14:textId="658A833D" w:rsidR="00D57AA9" w:rsidRPr="00F77F62" w:rsidRDefault="00D57AA9" w:rsidP="00F0500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07DD3" w:rsidRPr="00F77F62" w14:paraId="2AC5FD72" w14:textId="77777777" w:rsidTr="00274317">
        <w:trPr>
          <w:cantSplit/>
          <w:trHeight w:val="940"/>
        </w:trPr>
        <w:tc>
          <w:tcPr>
            <w:cnfStyle w:val="001000000000" w:firstRow="0" w:lastRow="0" w:firstColumn="1" w:lastColumn="0" w:oddVBand="0" w:evenVBand="0" w:oddHBand="0" w:evenHBand="0" w:firstRowFirstColumn="0" w:firstRowLastColumn="0" w:lastRowFirstColumn="0" w:lastRowLastColumn="0"/>
            <w:tcW w:w="705" w:type="pct"/>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068548AE" w14:textId="77777777" w:rsidR="00D57AA9" w:rsidRPr="00A07DD3" w:rsidRDefault="00D57AA9" w:rsidP="00F05000">
            <w:pPr>
              <w:spacing w:before="120" w:after="120"/>
              <w:rPr>
                <w:rFonts w:asciiTheme="minorHAnsi" w:hAnsiTheme="minorHAnsi" w:cstheme="minorHAnsi"/>
                <w:b w:val="0"/>
                <w:bCs w:val="0"/>
                <w:sz w:val="20"/>
                <w:szCs w:val="20"/>
              </w:rPr>
            </w:pPr>
            <w:r w:rsidRPr="00A07DD3">
              <w:rPr>
                <w:rFonts w:asciiTheme="minorHAnsi" w:hAnsiTheme="minorHAnsi" w:cstheme="minorHAnsi"/>
                <w:b w:val="0"/>
                <w:bCs w:val="0"/>
                <w:sz w:val="20"/>
                <w:szCs w:val="20"/>
              </w:rPr>
              <w:t>Children’s share of deaths</w:t>
            </w:r>
          </w:p>
        </w:tc>
        <w:tc>
          <w:tcPr>
            <w:tcW w:w="470"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4241F7AE" w14:textId="77777777" w:rsidR="00D57AA9" w:rsidRPr="00F77F62" w:rsidRDefault="00D57AA9" w:rsidP="00F05000">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77F62">
              <w:rPr>
                <w:rFonts w:asciiTheme="minorHAnsi" w:hAnsiTheme="minorHAnsi" w:cstheme="minorHAnsi"/>
                <w:sz w:val="20"/>
                <w:szCs w:val="20"/>
              </w:rPr>
              <w:t>80%</w:t>
            </w:r>
          </w:p>
        </w:tc>
        <w:tc>
          <w:tcPr>
            <w:tcW w:w="593"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77C79816" w14:textId="77777777" w:rsidR="00D57AA9" w:rsidRPr="00F77F62" w:rsidRDefault="00D57AA9" w:rsidP="00F0500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77F62">
              <w:rPr>
                <w:rFonts w:asciiTheme="minorHAnsi" w:hAnsiTheme="minorHAnsi" w:cstheme="minorHAnsi"/>
                <w:sz w:val="20"/>
                <w:szCs w:val="20"/>
              </w:rPr>
              <w:t>Assumption</w:t>
            </w:r>
          </w:p>
        </w:tc>
        <w:tc>
          <w:tcPr>
            <w:tcW w:w="3232" w:type="pct"/>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3F2287F1" w14:textId="15D25072" w:rsidR="00D57AA9" w:rsidRPr="00F77F62" w:rsidRDefault="00D57AA9" w:rsidP="00F0500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77F62">
              <w:rPr>
                <w:rFonts w:asciiTheme="minorHAnsi" w:hAnsiTheme="minorHAnsi" w:cstheme="minorHAnsi"/>
                <w:sz w:val="20"/>
                <w:szCs w:val="20"/>
              </w:rPr>
              <w:t>Assumes children are more susceptible to fatality if there is a furniture tip-over event</w:t>
            </w:r>
          </w:p>
        </w:tc>
      </w:tr>
      <w:tr w:rsidR="004C2744" w:rsidRPr="00F77F62" w14:paraId="3A085BC2" w14:textId="77777777" w:rsidTr="00274317">
        <w:trPr>
          <w:cnfStyle w:val="000000100000" w:firstRow="0" w:lastRow="0" w:firstColumn="0" w:lastColumn="0" w:oddVBand="0" w:evenVBand="0" w:oddHBand="1" w:evenHBand="0" w:firstRowFirstColumn="0" w:firstRowLastColumn="0" w:lastRowFirstColumn="0" w:lastRowLastColumn="0"/>
          <w:cantSplit/>
          <w:trHeight w:val="940"/>
        </w:trPr>
        <w:tc>
          <w:tcPr>
            <w:cnfStyle w:val="001000000000" w:firstRow="0" w:lastRow="0" w:firstColumn="1" w:lastColumn="0" w:oddVBand="0" w:evenVBand="0" w:oddHBand="0" w:evenHBand="0" w:firstRowFirstColumn="0" w:firstRowLastColumn="0" w:lastRowFirstColumn="0" w:lastRowLastColumn="0"/>
            <w:tcW w:w="705" w:type="pct"/>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0898D08A" w14:textId="77777777" w:rsidR="00D57AA9" w:rsidRPr="00A07DD3" w:rsidRDefault="00D57AA9" w:rsidP="00F05000">
            <w:pPr>
              <w:spacing w:before="120" w:after="120"/>
              <w:rPr>
                <w:rFonts w:asciiTheme="minorHAnsi" w:hAnsiTheme="minorHAnsi" w:cstheme="minorHAnsi"/>
                <w:b w:val="0"/>
                <w:bCs w:val="0"/>
                <w:sz w:val="20"/>
                <w:szCs w:val="20"/>
              </w:rPr>
            </w:pPr>
            <w:r w:rsidRPr="00A07DD3">
              <w:rPr>
                <w:rFonts w:asciiTheme="minorHAnsi" w:hAnsiTheme="minorHAnsi" w:cstheme="minorHAnsi"/>
                <w:b w:val="0"/>
                <w:bCs w:val="0"/>
                <w:sz w:val="20"/>
                <w:szCs w:val="20"/>
              </w:rPr>
              <w:t>Children’s share of injuries</w:t>
            </w:r>
          </w:p>
        </w:tc>
        <w:tc>
          <w:tcPr>
            <w:tcW w:w="470"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6984F49A" w14:textId="77777777" w:rsidR="00D57AA9" w:rsidRPr="00F77F62" w:rsidRDefault="00D57AA9" w:rsidP="00F05000">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77F62">
              <w:rPr>
                <w:rFonts w:asciiTheme="minorHAnsi" w:hAnsiTheme="minorHAnsi" w:cstheme="minorHAnsi"/>
                <w:sz w:val="20"/>
                <w:szCs w:val="20"/>
              </w:rPr>
              <w:t>50%</w:t>
            </w:r>
          </w:p>
        </w:tc>
        <w:tc>
          <w:tcPr>
            <w:tcW w:w="593"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2CA8BA2C" w14:textId="77777777" w:rsidR="00D57AA9" w:rsidRPr="00F77F62" w:rsidRDefault="00D57AA9" w:rsidP="00F0500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77F62">
              <w:rPr>
                <w:rFonts w:asciiTheme="minorHAnsi" w:hAnsiTheme="minorHAnsi" w:cstheme="minorHAnsi"/>
                <w:sz w:val="20"/>
                <w:szCs w:val="20"/>
              </w:rPr>
              <w:t>Assumption</w:t>
            </w:r>
          </w:p>
        </w:tc>
        <w:tc>
          <w:tcPr>
            <w:tcW w:w="3232" w:type="pct"/>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5FFAF7FC" w14:textId="17A861DC" w:rsidR="00D57AA9" w:rsidRPr="00F77F62" w:rsidRDefault="00D57AA9" w:rsidP="00F0500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77F62">
              <w:rPr>
                <w:rFonts w:asciiTheme="minorHAnsi" w:hAnsiTheme="minorHAnsi" w:cstheme="minorHAnsi"/>
                <w:sz w:val="20"/>
                <w:szCs w:val="20"/>
              </w:rPr>
              <w:t>Assumes injuries are equally likely for children and adults if there is a furniture tip-over event</w:t>
            </w:r>
          </w:p>
        </w:tc>
      </w:tr>
    </w:tbl>
    <w:p w14:paraId="01124D18" w14:textId="1B42C323" w:rsidR="00D57AA9" w:rsidRPr="006A4B13" w:rsidRDefault="00D57AA9" w:rsidP="00274317">
      <w:pPr>
        <w:spacing w:before="120"/>
      </w:pPr>
    </w:p>
    <w:sectPr w:rsidR="00D57AA9" w:rsidRPr="006A4B13" w:rsidSect="00E71ED0">
      <w:pgSz w:w="16838" w:h="11906" w:orient="landscape"/>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193C" w14:textId="77777777" w:rsidR="00B54F1A" w:rsidRDefault="00B54F1A" w:rsidP="004B4412">
      <w:pPr>
        <w:spacing w:before="0"/>
      </w:pPr>
      <w:r>
        <w:separator/>
      </w:r>
    </w:p>
  </w:endnote>
  <w:endnote w:type="continuationSeparator" w:id="0">
    <w:p w14:paraId="70340644" w14:textId="77777777" w:rsidR="00B54F1A" w:rsidRDefault="00B54F1A"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0E6B7" w14:textId="77777777" w:rsidR="00B54F1A" w:rsidRDefault="00B54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409795"/>
      <w:docPartObj>
        <w:docPartGallery w:val="Page Numbers (Bottom of Page)"/>
        <w:docPartUnique/>
      </w:docPartObj>
    </w:sdtPr>
    <w:sdtEndPr>
      <w:rPr>
        <w:noProof/>
      </w:rPr>
    </w:sdtEndPr>
    <w:sdtContent>
      <w:p w14:paraId="50D55A3B" w14:textId="12E50147" w:rsidR="00B54F1A" w:rsidRDefault="00B54F1A">
        <w:pPr>
          <w:pStyle w:val="Footer"/>
          <w:jc w:val="right"/>
        </w:pPr>
        <w:r>
          <w:fldChar w:fldCharType="begin"/>
        </w:r>
        <w:r>
          <w:instrText xml:space="preserve"> PAGE   \* MERGEFORMAT </w:instrText>
        </w:r>
        <w:r>
          <w:fldChar w:fldCharType="separate"/>
        </w:r>
        <w:r w:rsidR="00254AB5">
          <w:rPr>
            <w:noProof/>
          </w:rPr>
          <w:t>i</w:t>
        </w:r>
        <w:r>
          <w:rPr>
            <w:noProof/>
          </w:rPr>
          <w:fldChar w:fldCharType="end"/>
        </w:r>
      </w:p>
    </w:sdtContent>
  </w:sdt>
  <w:p w14:paraId="74B8E26A" w14:textId="77777777" w:rsidR="00B54F1A" w:rsidRDefault="00B54F1A" w:rsidP="00AB327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EAEC5" w14:textId="77777777" w:rsidR="00B54F1A" w:rsidRDefault="00B54F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500A7" w14:textId="77777777" w:rsidR="00B54F1A" w:rsidRDefault="00B54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52A59" w14:textId="77777777" w:rsidR="00B54F1A" w:rsidRDefault="00B54F1A" w:rsidP="004B4412">
      <w:pPr>
        <w:spacing w:before="0"/>
      </w:pPr>
      <w:r>
        <w:separator/>
      </w:r>
    </w:p>
  </w:footnote>
  <w:footnote w:type="continuationSeparator" w:id="0">
    <w:p w14:paraId="3A8E1A0A" w14:textId="77777777" w:rsidR="00B54F1A" w:rsidRDefault="00B54F1A" w:rsidP="004B4412">
      <w:pPr>
        <w:spacing w:before="0"/>
      </w:pPr>
      <w:r>
        <w:continuationSeparator/>
      </w:r>
    </w:p>
  </w:footnote>
  <w:footnote w:id="1">
    <w:p w14:paraId="7FAECB26" w14:textId="778CCB18" w:rsidR="00B54F1A" w:rsidRDefault="00B54F1A">
      <w:pPr>
        <w:pStyle w:val="FootnoteText"/>
      </w:pPr>
      <w:r>
        <w:rPr>
          <w:rStyle w:val="FootnoteReference"/>
        </w:rPr>
        <w:footnoteRef/>
      </w:r>
      <w:r>
        <w:t xml:space="preserve"> </w:t>
      </w:r>
      <w:r>
        <w:tab/>
      </w:r>
      <w:r w:rsidRPr="00866509">
        <w:t xml:space="preserve">The height references for the regulatory options are </w:t>
      </w:r>
      <w:r>
        <w:t xml:space="preserve">largely </w:t>
      </w:r>
      <w:r w:rsidRPr="00866509">
        <w:t xml:space="preserve">consistent with AS/NZS 4935:2009—an Australian and New </w:t>
      </w:r>
      <w:r w:rsidRPr="005E632F">
        <w:t>Zealand voluntary standard that manufacturers and suppliers may already be familiar with.</w:t>
      </w:r>
    </w:p>
  </w:footnote>
  <w:footnote w:id="2">
    <w:p w14:paraId="54F1214C" w14:textId="5E5B05D2" w:rsidR="00B54F1A" w:rsidRDefault="00B54F1A">
      <w:pPr>
        <w:pStyle w:val="FootnoteText"/>
      </w:pPr>
      <w:r>
        <w:rPr>
          <w:rStyle w:val="FootnoteReference"/>
        </w:rPr>
        <w:footnoteRef/>
      </w:r>
      <w:r>
        <w:t xml:space="preserve"> </w:t>
      </w:r>
      <w:r>
        <w:tab/>
        <w:t>Extrapolated from available Queensland hospital data. Further discussed in section 5.1.</w:t>
      </w:r>
    </w:p>
  </w:footnote>
  <w:footnote w:id="3">
    <w:p w14:paraId="17494FA4" w14:textId="09DC7B31" w:rsidR="00B54F1A" w:rsidRDefault="00B54F1A">
      <w:pPr>
        <w:pStyle w:val="FootnoteText"/>
      </w:pPr>
      <w:r>
        <w:rPr>
          <w:rStyle w:val="FootnoteReference"/>
        </w:rPr>
        <w:footnoteRef/>
      </w:r>
      <w:r>
        <w:t xml:space="preserve"> </w:t>
      </w:r>
      <w:r>
        <w:tab/>
        <w:t xml:space="preserve">The ACCC’s estimates are based on available data, noting there is no single repository of injury data. </w:t>
      </w:r>
    </w:p>
  </w:footnote>
  <w:footnote w:id="4">
    <w:p w14:paraId="4FDD3A02" w14:textId="45CA7A2B" w:rsidR="00B54F1A" w:rsidRDefault="00B54F1A">
      <w:pPr>
        <w:pStyle w:val="FootnoteText"/>
      </w:pPr>
      <w:r>
        <w:rPr>
          <w:rStyle w:val="FootnoteReference"/>
        </w:rPr>
        <w:footnoteRef/>
      </w:r>
      <w:r>
        <w:t xml:space="preserve"> </w:t>
      </w:r>
      <w:r>
        <w:tab/>
        <w:t xml:space="preserve">ACCC Toppling furniture and televisions – Issues Paper, available at </w:t>
      </w:r>
      <w:hyperlink r:id="rId1" w:history="1">
        <w:r w:rsidRPr="000347F6">
          <w:rPr>
            <w:rStyle w:val="Hyperlink"/>
            <w:sz w:val="16"/>
          </w:rPr>
          <w:t>https://consultation.accc.gov.au/product-safety/toppling-furniture-and-televisions-issues-paper/</w:t>
        </w:r>
      </w:hyperlink>
      <w:r>
        <w:t xml:space="preserve"> </w:t>
      </w:r>
    </w:p>
  </w:footnote>
  <w:footnote w:id="5">
    <w:p w14:paraId="48CFD1F7" w14:textId="3F256693" w:rsidR="00B54F1A" w:rsidRDefault="00B54F1A">
      <w:pPr>
        <w:pStyle w:val="FootnoteText"/>
      </w:pPr>
      <w:r>
        <w:rPr>
          <w:rStyle w:val="FootnoteReference"/>
        </w:rPr>
        <w:footnoteRef/>
      </w:r>
      <w:r>
        <w:t xml:space="preserve"> </w:t>
      </w:r>
      <w:r>
        <w:tab/>
        <w:t xml:space="preserve">Toppling furniture – Consultation Regulatory Impact Statement, available at: </w:t>
      </w:r>
      <w:hyperlink r:id="rId2" w:history="1">
        <w:r w:rsidRPr="005D73EF">
          <w:rPr>
            <w:rStyle w:val="Hyperlink"/>
            <w:sz w:val="16"/>
          </w:rPr>
          <w:t>https://consultation.accc.gov.au/product-safety/toppling-furniture-consultation-regulation-impact/</w:t>
        </w:r>
      </w:hyperlink>
      <w:r>
        <w:t xml:space="preserve"> </w:t>
      </w:r>
    </w:p>
  </w:footnote>
  <w:footnote w:id="6">
    <w:p w14:paraId="51FDBF34" w14:textId="54210D40" w:rsidR="00B54F1A" w:rsidRDefault="00B54F1A">
      <w:pPr>
        <w:pStyle w:val="FootnoteText"/>
      </w:pPr>
      <w:r>
        <w:rPr>
          <w:rStyle w:val="FootnoteReference"/>
        </w:rPr>
        <w:footnoteRef/>
      </w:r>
      <w:r>
        <w:t xml:space="preserve"> </w:t>
      </w:r>
      <w:r>
        <w:tab/>
        <w:t>See section 6 for more information</w:t>
      </w:r>
    </w:p>
  </w:footnote>
  <w:footnote w:id="7">
    <w:p w14:paraId="25E4166D" w14:textId="77777777" w:rsidR="00B54F1A" w:rsidRDefault="00B54F1A" w:rsidP="009D0401">
      <w:pPr>
        <w:pStyle w:val="FootnoteText"/>
      </w:pPr>
      <w:r>
        <w:rPr>
          <w:rStyle w:val="FootnoteReference"/>
        </w:rPr>
        <w:footnoteRef/>
      </w:r>
      <w:r>
        <w:t xml:space="preserve"> </w:t>
      </w:r>
      <w:r>
        <w:tab/>
        <w:t xml:space="preserve">CHOICE submission to the ACCC Issues Paper – Toppling Furniture and Televisions. Available at: </w:t>
      </w:r>
      <w:hyperlink r:id="rId3" w:history="1">
        <w:r w:rsidRPr="00343C9A">
          <w:rPr>
            <w:rStyle w:val="Hyperlink"/>
            <w:sz w:val="16"/>
          </w:rPr>
          <w:t>https://consultation.accc.gov.au/product-safety/toppling-furniture-and-televisions-issues-paper/consultation/view_respondent?uuId=1062962370</w:t>
        </w:r>
      </w:hyperlink>
      <w:r>
        <w:t xml:space="preserve"> </w:t>
      </w:r>
    </w:p>
  </w:footnote>
  <w:footnote w:id="8">
    <w:p w14:paraId="4A38EDF5" w14:textId="59070328" w:rsidR="00B54F1A" w:rsidRDefault="00B54F1A" w:rsidP="0090162A">
      <w:pPr>
        <w:pStyle w:val="FootnoteText"/>
      </w:pPr>
      <w:r>
        <w:rPr>
          <w:rStyle w:val="FootnoteReference"/>
        </w:rPr>
        <w:footnoteRef/>
      </w:r>
      <w:r>
        <w:t xml:space="preserve"> </w:t>
      </w:r>
      <w:r>
        <w:tab/>
        <w:t xml:space="preserve">See section 4.2 for more information </w:t>
      </w:r>
    </w:p>
  </w:footnote>
  <w:footnote w:id="9">
    <w:p w14:paraId="21DBADB0" w14:textId="22338891" w:rsidR="00B54F1A" w:rsidRDefault="00B54F1A">
      <w:pPr>
        <w:pStyle w:val="FootnoteText"/>
      </w:pPr>
      <w:r>
        <w:rPr>
          <w:rStyle w:val="FootnoteReference"/>
        </w:rPr>
        <w:footnoteRef/>
      </w:r>
      <w:r>
        <w:t xml:space="preserve"> </w:t>
      </w:r>
      <w:r>
        <w:tab/>
        <w:t>H</w:t>
      </w:r>
      <w:r w:rsidRPr="004C396F">
        <w:t xml:space="preserve">eight references </w:t>
      </w:r>
      <w:r>
        <w:t xml:space="preserve">for the regulatory options </w:t>
      </w:r>
      <w:r w:rsidRPr="004C396F">
        <w:t>are</w:t>
      </w:r>
      <w:r>
        <w:t xml:space="preserve"> largely</w:t>
      </w:r>
      <w:r w:rsidRPr="004C396F">
        <w:t xml:space="preserve"> consistent with AS/NZS 4935:2009</w:t>
      </w:r>
    </w:p>
  </w:footnote>
  <w:footnote w:id="10">
    <w:p w14:paraId="75B49D31" w14:textId="77777777" w:rsidR="00B54F1A" w:rsidRDefault="00B54F1A" w:rsidP="00276441">
      <w:pPr>
        <w:pStyle w:val="FootnoteText"/>
      </w:pPr>
      <w:r>
        <w:rPr>
          <w:rStyle w:val="FootnoteReference"/>
        </w:rPr>
        <w:footnoteRef/>
      </w:r>
      <w:r>
        <w:t xml:space="preserve"> </w:t>
      </w:r>
      <w:r>
        <w:tab/>
        <w:t xml:space="preserve">ACCC Issues Paper, Toppling furniture and televisions, p.12, available at </w:t>
      </w:r>
      <w:hyperlink r:id="rId4" w:history="1">
        <w:r w:rsidRPr="00B2123B">
          <w:rPr>
            <w:rStyle w:val="Hyperlink"/>
            <w:sz w:val="16"/>
          </w:rPr>
          <w:t>https://consultation.accc.gov.au/product-safety/toppling-furniture-and-televisions-issues-paper/supporting_documents/Toppling%20furniture%20and%20televisions%20%20issues%20paper.pdf</w:t>
        </w:r>
      </w:hyperlink>
      <w:r>
        <w:t xml:space="preserve"> </w:t>
      </w:r>
    </w:p>
  </w:footnote>
  <w:footnote w:id="11">
    <w:p w14:paraId="2CFF45CE" w14:textId="33F07CF3" w:rsidR="00B54F1A" w:rsidRDefault="00B54F1A" w:rsidP="00276441">
      <w:pPr>
        <w:pStyle w:val="FootnoteText"/>
      </w:pPr>
      <w:r>
        <w:rPr>
          <w:rStyle w:val="FootnoteReference"/>
        </w:rPr>
        <w:footnoteRef/>
      </w:r>
      <w:r>
        <w:t xml:space="preserve"> </w:t>
      </w:r>
      <w:r>
        <w:tab/>
        <w:t xml:space="preserve">Electrical Equipment Safety System. Accessed 15 March 2022, available at: </w:t>
      </w:r>
      <w:hyperlink r:id="rId5" w:history="1">
        <w:r w:rsidRPr="00BC40B4">
          <w:rPr>
            <w:rStyle w:val="Hyperlink"/>
            <w:sz w:val="16"/>
          </w:rPr>
          <w:t>https://www.eess.gov.au/</w:t>
        </w:r>
      </w:hyperlink>
      <w:r>
        <w:t xml:space="preserve"> </w:t>
      </w:r>
    </w:p>
  </w:footnote>
  <w:footnote w:id="12">
    <w:p w14:paraId="3028B0A9" w14:textId="77777777" w:rsidR="00B54F1A" w:rsidRDefault="00B54F1A" w:rsidP="00084A41">
      <w:pPr>
        <w:pStyle w:val="FootnoteText"/>
      </w:pPr>
      <w:r>
        <w:rPr>
          <w:rStyle w:val="FootnoteReference"/>
        </w:rPr>
        <w:footnoteRef/>
      </w:r>
      <w:r>
        <w:t xml:space="preserve"> </w:t>
      </w:r>
      <w:r>
        <w:tab/>
        <w:t xml:space="preserve">Queensland Injury Surveillance Unit, </w:t>
      </w:r>
      <w:r w:rsidRPr="00165CF3">
        <w:rPr>
          <w:i/>
          <w:iCs/>
        </w:rPr>
        <w:t>Furniture and TV tip-over injury data, ‘Table 3.4.1 – All related product &amp; Triage category’,</w:t>
      </w:r>
      <w:r>
        <w:t xml:space="preserve"> March 2021.</w:t>
      </w:r>
    </w:p>
  </w:footnote>
  <w:footnote w:id="13">
    <w:p w14:paraId="4AA3D0A0" w14:textId="77777777" w:rsidR="00B54F1A" w:rsidRDefault="00B54F1A" w:rsidP="00847A3D">
      <w:pPr>
        <w:pStyle w:val="FootnoteText"/>
      </w:pPr>
      <w:r>
        <w:rPr>
          <w:rStyle w:val="FootnoteReference"/>
        </w:rPr>
        <w:footnoteRef/>
      </w:r>
      <w:r>
        <w:t xml:space="preserve">     NCIS d</w:t>
      </w:r>
      <w:r w:rsidRPr="00851D80">
        <w:t>ata collection for all Australian States and Territories commenced on 1 July 2000, with the exception of Queensland which commenced on 1 January 2001.</w:t>
      </w:r>
    </w:p>
  </w:footnote>
  <w:footnote w:id="14">
    <w:p w14:paraId="372918C9" w14:textId="0C8489F1" w:rsidR="00B54F1A" w:rsidRDefault="00B54F1A">
      <w:pPr>
        <w:pStyle w:val="FootnoteText"/>
      </w:pPr>
      <w:r>
        <w:rPr>
          <w:rStyle w:val="FootnoteReference"/>
        </w:rPr>
        <w:footnoteRef/>
      </w:r>
      <w:r>
        <w:t xml:space="preserve"> </w:t>
      </w:r>
      <w:r>
        <w:tab/>
        <w:t>NCIS accessed April 2021. also includes a fatality confirmed by the Coroner’s Court of Queensland, and another</w:t>
      </w:r>
      <w:r w:rsidRPr="00BD49BE">
        <w:t xml:space="preserve"> incident reported in the media</w:t>
      </w:r>
      <w:r w:rsidRPr="00F05000">
        <w:t xml:space="preserve"> in early 2022</w:t>
      </w:r>
      <w:r w:rsidRPr="00731A4C">
        <w:t xml:space="preserve"> </w:t>
      </w:r>
      <w:r>
        <w:t xml:space="preserve">- </w:t>
      </w:r>
      <w:r w:rsidRPr="00BD49BE">
        <w:t>further details are not yet availabl</w:t>
      </w:r>
      <w:r w:rsidRPr="00EA26AB">
        <w:t>e</w:t>
      </w:r>
      <w:r>
        <w:t xml:space="preserve"> on NCIS</w:t>
      </w:r>
    </w:p>
  </w:footnote>
  <w:footnote w:id="15">
    <w:p w14:paraId="355D9B26" w14:textId="77777777" w:rsidR="00B54F1A" w:rsidRDefault="00B54F1A" w:rsidP="00945E42">
      <w:pPr>
        <w:pStyle w:val="FootnoteText"/>
        <w:ind w:left="0" w:firstLine="0"/>
      </w:pPr>
      <w:r>
        <w:rPr>
          <w:rStyle w:val="FootnoteReference"/>
        </w:rPr>
        <w:footnoteRef/>
      </w:r>
      <w:r>
        <w:t xml:space="preserve"> </w:t>
      </w:r>
      <w:r>
        <w:tab/>
        <w:t>The Victorian Injury Surveillance Unit data is provided from July 2016 to June 2020 while the Queensland Injury Surveillance Unit data is provided from January 2016 to June 2020. The data provided by VISU and QISU does not capture all hospitals with an emergency department. Population demographics and the type of participating hospitals may influence the data captured. For example, children’s hospitals may capture more incidents in the younger age groups and hospitals with 24-hour emergency departments may capture more overall incidents than those without.</w:t>
      </w:r>
    </w:p>
    <w:p w14:paraId="6315BE78" w14:textId="77777777" w:rsidR="00B54F1A" w:rsidRDefault="00B54F1A" w:rsidP="00945E42">
      <w:pPr>
        <w:pStyle w:val="FootnoteText"/>
        <w:ind w:left="0" w:firstLine="0"/>
      </w:pPr>
      <w:r>
        <w:t xml:space="preserve">QISU collects injury data from emergency departments (ED) at participating hospitals across Queensland. The data is estimated to represent roughly 20% to 25% of all ED injury presentations in the state depending on the age group and injury type studied. The QISU database contains injury data collected from Jan 1999-present (currently 23 years). Not all hospitals have collected for the full 23 year period. Data is collected in the following Hospital and Health Service areas: Darling Downs HHS, Cairns and Hinterland HHS, Central QLD HHS, Children's Health QLD HHS, Mackay HHS, Metro North HSS, Metro South HHS, North West HHS, Townsville HHS and Wide Bay HSS. </w:t>
      </w:r>
      <w:r>
        <w:tab/>
      </w:r>
    </w:p>
    <w:p w14:paraId="5438EE3D" w14:textId="77777777" w:rsidR="00B54F1A" w:rsidRDefault="00B54F1A" w:rsidP="00945E42">
      <w:pPr>
        <w:pStyle w:val="FootnoteText"/>
        <w:ind w:left="0" w:firstLine="0"/>
      </w:pPr>
      <w:r>
        <w:t xml:space="preserve">QISU data is collected at the point of triage; when the triage nurse ticks yes to an injury this triggers an injury module to open for completion by the triage nurses (64% average completion rate). The injury module fields are not mandatory, allowing the triage nurses to skip part of or all the injury fields depending on clinical flow priorities. Consequently, the data may have missing codes in the injury data fields. QISU coders can supplement coded fields based on information in the injury description field (triage text in EDIS and the Injury Surveillance field in FirstNet). </w:t>
      </w:r>
      <w:r>
        <w:tab/>
      </w:r>
    </w:p>
    <w:p w14:paraId="2718828A" w14:textId="77777777" w:rsidR="00B54F1A" w:rsidRDefault="00B54F1A" w:rsidP="00945E42">
      <w:pPr>
        <w:pStyle w:val="FootnoteText"/>
        <w:ind w:left="0" w:firstLine="0"/>
      </w:pPr>
      <w:r>
        <w:t>Each record is validated and coded in accordance with the National Data Standards – Injury Surveillance (NDS-IS) (National Injury Surveillance Unit 1998). This process lags several months behind data intake. In some situations, machine validation can be used to include more recent data.</w:t>
      </w:r>
    </w:p>
    <w:p w14:paraId="50BE354B" w14:textId="72549C94" w:rsidR="00B54F1A" w:rsidRDefault="00B54F1A">
      <w:pPr>
        <w:pStyle w:val="FootnoteText"/>
      </w:pPr>
    </w:p>
  </w:footnote>
  <w:footnote w:id="16">
    <w:p w14:paraId="77BD134E" w14:textId="31C15BE6" w:rsidR="00B54F1A" w:rsidRDefault="00B54F1A" w:rsidP="00DC412A">
      <w:pPr>
        <w:pStyle w:val="FootnoteText"/>
      </w:pPr>
      <w:r>
        <w:rPr>
          <w:rStyle w:val="FootnoteReference"/>
        </w:rPr>
        <w:footnoteRef/>
      </w:r>
      <w:r>
        <w:t xml:space="preserve"> </w:t>
      </w:r>
      <w:r>
        <w:tab/>
      </w:r>
      <w:r w:rsidRPr="00A3302F">
        <w:t>For more information on ND</w:t>
      </w:r>
      <w:r>
        <w:t>S</w:t>
      </w:r>
      <w:r w:rsidRPr="00A3302F">
        <w:t>IS data collection refer to </w:t>
      </w:r>
      <w:hyperlink r:id="rId6" w:history="1">
        <w:r w:rsidRPr="00755D5D">
          <w:rPr>
            <w:rStyle w:val="Hyperlink"/>
            <w:sz w:val="16"/>
          </w:rPr>
          <w:t>https://www.cdc.gov/nchs/data/ice/ice95v2/c04.pdf</w:t>
        </w:r>
      </w:hyperlink>
    </w:p>
  </w:footnote>
  <w:footnote w:id="17">
    <w:p w14:paraId="64B45AE1" w14:textId="3D4D18CF" w:rsidR="00B54F1A" w:rsidRDefault="00B54F1A" w:rsidP="00DC412A">
      <w:pPr>
        <w:pStyle w:val="FootnoteText"/>
      </w:pPr>
      <w:r>
        <w:rPr>
          <w:rStyle w:val="FootnoteReference"/>
        </w:rPr>
        <w:footnoteRef/>
      </w:r>
      <w:r>
        <w:t xml:space="preserve"> </w:t>
      </w:r>
      <w:r>
        <w:tab/>
      </w:r>
      <w:r w:rsidRPr="00E41B29">
        <w:t>Tip over related injury (aged 0-13): Trend over 14 years (Data from Queensland Paediatric Hospitals [corrected for ascertainment rate])</w:t>
      </w:r>
      <w:r>
        <w:t xml:space="preserve"> </w:t>
      </w:r>
      <w:r w:rsidRPr="00853381">
        <w:t xml:space="preserve">The graph shows number of injuries presenting at Queensland's paediatric hospitals (Mater Children's and Royal Children's Hospitals which were merged to form the Queensland Children's Hospital in November 2014) due to furniture tip over incidents involving </w:t>
      </w:r>
      <w:r>
        <w:t xml:space="preserve">selected </w:t>
      </w:r>
      <w:r w:rsidRPr="00853381">
        <w:t>storage furniture (shelves, cupboards, drawers, wardrobes and entertainment units). The paediatric hospitals have continually collected data for QISU over the 14 year-period serving a paediatric population of 0-13 years of age. During that time, the data completion rate (case ascertainment) has varied and the paediatric population has grown. Data presented above shows the number of ED injury presentations for in-scope furniture (corrected for ascertainment) over the 14 year-period.</w:t>
      </w:r>
    </w:p>
    <w:p w14:paraId="760F4A18" w14:textId="77777777" w:rsidR="00B54F1A" w:rsidRDefault="00B54F1A" w:rsidP="00DC412A">
      <w:pPr>
        <w:pStyle w:val="FootnoteText"/>
      </w:pPr>
    </w:p>
  </w:footnote>
  <w:footnote w:id="18">
    <w:p w14:paraId="25299FF1" w14:textId="1035EDCB" w:rsidR="00B54F1A" w:rsidRDefault="00B54F1A" w:rsidP="00C361A8">
      <w:pPr>
        <w:pStyle w:val="FootnoteText"/>
      </w:pPr>
      <w:r>
        <w:rPr>
          <w:rStyle w:val="FootnoteReference"/>
        </w:rPr>
        <w:footnoteRef/>
      </w:r>
      <w:r>
        <w:t xml:space="preserve"> </w:t>
      </w:r>
      <w:r>
        <w:tab/>
        <w:t xml:space="preserve">National Retail Association, </w:t>
      </w:r>
      <w:r w:rsidRPr="00272EED">
        <w:rPr>
          <w:i/>
          <w:iCs/>
        </w:rPr>
        <w:t>Best practice guide for furniture and television tip-over prevention</w:t>
      </w:r>
      <w:r>
        <w:t xml:space="preserve">, Available at: </w:t>
      </w:r>
      <w:hyperlink r:id="rId7" w:history="1">
        <w:r w:rsidRPr="00343C9A">
          <w:rPr>
            <w:rStyle w:val="Hyperlink"/>
            <w:sz w:val="16"/>
          </w:rPr>
          <w:t>https://www.nra.net.au/app/uploads/2018/11/NRA-furniture-and-TV-tip-over-best-practice-guide.pdf</w:t>
        </w:r>
      </w:hyperlink>
      <w:r>
        <w:t xml:space="preserve"> </w:t>
      </w:r>
    </w:p>
  </w:footnote>
  <w:footnote w:id="19">
    <w:p w14:paraId="26316A90" w14:textId="01187DE7" w:rsidR="00B54F1A" w:rsidRDefault="00B54F1A">
      <w:pPr>
        <w:pStyle w:val="FootnoteText"/>
      </w:pPr>
      <w:r>
        <w:rPr>
          <w:rStyle w:val="FootnoteReference"/>
        </w:rPr>
        <w:footnoteRef/>
      </w:r>
      <w:r>
        <w:t xml:space="preserve"> </w:t>
      </w:r>
      <w:r>
        <w:tab/>
        <w:t xml:space="preserve">Furntech-AFRDI submission to the ACCC Issues Paper – Toppling Furniture and Televisions. Available at: </w:t>
      </w:r>
      <w:hyperlink r:id="rId8" w:history="1">
        <w:r w:rsidRPr="00343C9A">
          <w:rPr>
            <w:rStyle w:val="Hyperlink"/>
            <w:sz w:val="16"/>
          </w:rPr>
          <w:t>https://consultation.accc.gov.au/product-safety/toppling-furniture-and-televisions-issues-paper/consultation/view_respondent?uuId=992755904</w:t>
        </w:r>
      </w:hyperlink>
      <w:r>
        <w:t xml:space="preserve"> </w:t>
      </w:r>
    </w:p>
  </w:footnote>
  <w:footnote w:id="20">
    <w:p w14:paraId="0404A099" w14:textId="3504E7C0" w:rsidR="00B54F1A" w:rsidRDefault="00B54F1A" w:rsidP="00486F8C">
      <w:pPr>
        <w:pStyle w:val="FootnoteText"/>
      </w:pPr>
      <w:r>
        <w:rPr>
          <w:rStyle w:val="FootnoteReference"/>
        </w:rPr>
        <w:footnoteRef/>
      </w:r>
      <w:r>
        <w:t xml:space="preserve"> </w:t>
      </w:r>
      <w:r>
        <w:tab/>
        <w:t xml:space="preserve">Fair Trading NSW, </w:t>
      </w:r>
      <w:r w:rsidRPr="00272EED">
        <w:rPr>
          <w:i/>
          <w:iCs/>
        </w:rPr>
        <w:t>Changes to the residential tenancy laws</w:t>
      </w:r>
      <w:r>
        <w:t xml:space="preserve">. (Changes from March 2020) Available at: </w:t>
      </w:r>
      <w:hyperlink r:id="rId9" w:history="1">
        <w:r w:rsidRPr="005A2FDA">
          <w:rPr>
            <w:rStyle w:val="Hyperlink"/>
            <w:sz w:val="16"/>
          </w:rPr>
          <w:t>https://www.fairtrading.nsw.gov.au/about-fair-trading/legislation-and-publications/changes-to-legislation/new-residential-tenancy-laws</w:t>
        </w:r>
      </w:hyperlink>
      <w:r>
        <w:t xml:space="preserve"> Consumer Affairs Victoria. Available at: </w:t>
      </w:r>
      <w:hyperlink r:id="rId10" w:history="1">
        <w:r w:rsidRPr="005A2FDA">
          <w:rPr>
            <w:rStyle w:val="Hyperlink"/>
            <w:sz w:val="16"/>
          </w:rPr>
          <w:t>https://www.consumer.vic.gov.au/housing/renting/repairs-alterations-safety-and-pets/renters-making-changes-to-the-property</w:t>
        </w:r>
      </w:hyperlink>
      <w:r>
        <w:t xml:space="preserve">. WA Department of Commerce, </w:t>
      </w:r>
      <w:r w:rsidRPr="00272EED">
        <w:rPr>
          <w:i/>
          <w:iCs/>
        </w:rPr>
        <w:t>New child safety laws now in force to prevent toppling furniture</w:t>
      </w:r>
      <w:r>
        <w:t xml:space="preserve">. Available at: </w:t>
      </w:r>
      <w:hyperlink r:id="rId11" w:history="1">
        <w:r w:rsidRPr="005A2FDA">
          <w:rPr>
            <w:rStyle w:val="Hyperlink"/>
            <w:sz w:val="16"/>
          </w:rPr>
          <w:t>https://www.commerce.wa.gov.au/announcements/new-child-safety-laws-now-force-prevent-toppling-furniture-accidents</w:t>
        </w:r>
      </w:hyperlink>
      <w:r>
        <w:t xml:space="preserve">.  </w:t>
      </w:r>
    </w:p>
  </w:footnote>
  <w:footnote w:id="21">
    <w:p w14:paraId="1C0CB57E" w14:textId="4705E7D1" w:rsidR="00B54F1A" w:rsidRDefault="00B54F1A">
      <w:pPr>
        <w:pStyle w:val="FootnoteText"/>
      </w:pPr>
      <w:r>
        <w:rPr>
          <w:rStyle w:val="FootnoteReference"/>
        </w:rPr>
        <w:footnoteRef/>
      </w:r>
      <w:r>
        <w:t xml:space="preserve"> </w:t>
      </w:r>
      <w:r>
        <w:tab/>
      </w:r>
      <w:hyperlink r:id="rId12" w:history="1">
        <w:r w:rsidRPr="005D73EF">
          <w:rPr>
            <w:rStyle w:val="Hyperlink"/>
            <w:sz w:val="16"/>
          </w:rPr>
          <w:t>https://www.coronerscourt.vic.gov.au/sites/default/files/2018-12/redacted_lg_075510.pdf</w:t>
        </w:r>
      </w:hyperlink>
      <w:r>
        <w:t xml:space="preserve"> </w:t>
      </w:r>
    </w:p>
  </w:footnote>
  <w:footnote w:id="22">
    <w:p w14:paraId="05659798" w14:textId="0CDFF0C3" w:rsidR="00B54F1A" w:rsidRDefault="00B54F1A">
      <w:pPr>
        <w:pStyle w:val="FootnoteText"/>
      </w:pPr>
      <w:r>
        <w:rPr>
          <w:rStyle w:val="FootnoteReference"/>
        </w:rPr>
        <w:footnoteRef/>
      </w:r>
      <w:r>
        <w:t xml:space="preserve"> </w:t>
      </w:r>
      <w:r>
        <w:tab/>
        <w:t>See section 5 for details</w:t>
      </w:r>
    </w:p>
  </w:footnote>
  <w:footnote w:id="23">
    <w:p w14:paraId="323A0695" w14:textId="77777777" w:rsidR="00B54F1A" w:rsidRDefault="00B54F1A" w:rsidP="00A2470A">
      <w:pPr>
        <w:pStyle w:val="FootnoteText"/>
      </w:pPr>
      <w:r>
        <w:rPr>
          <w:rStyle w:val="FootnoteReference"/>
        </w:rPr>
        <w:footnoteRef/>
      </w:r>
      <w:r>
        <w:t xml:space="preserve"> </w:t>
      </w:r>
      <w:r>
        <w:tab/>
        <w:t>Department of Prime Minister and Cabinet, Office of Best Practice Regulation,</w:t>
      </w:r>
      <w:r w:rsidRPr="00F12DA2">
        <w:t xml:space="preserve"> </w:t>
      </w:r>
      <w:r w:rsidRPr="00982E46">
        <w:rPr>
          <w:i/>
          <w:iCs/>
        </w:rPr>
        <w:t>Best Practice Regulation Guidance Note</w:t>
      </w:r>
      <w:r>
        <w:rPr>
          <w:i/>
          <w:iCs/>
        </w:rPr>
        <w:t xml:space="preserve"> </w:t>
      </w:r>
      <w:r w:rsidRPr="00982E46">
        <w:rPr>
          <w:i/>
          <w:iCs/>
        </w:rPr>
        <w:t>Value of statistical life</w:t>
      </w:r>
      <w:r>
        <w:t xml:space="preserve">, August 2022, accessed 28 September 2022. Available at: </w:t>
      </w:r>
      <w:hyperlink r:id="rId13" w:history="1">
        <w:r w:rsidRPr="003B4533">
          <w:rPr>
            <w:rStyle w:val="Hyperlink"/>
            <w:sz w:val="16"/>
          </w:rPr>
          <w:t>https://obpr.pmc.gov.au/resources/guidance-assessing-impacts/value-statistical-life</w:t>
        </w:r>
      </w:hyperlink>
      <w:r>
        <w:t xml:space="preserve">. </w:t>
      </w:r>
    </w:p>
  </w:footnote>
  <w:footnote w:id="24">
    <w:p w14:paraId="771B5A05" w14:textId="77777777" w:rsidR="00B54F1A" w:rsidRDefault="00B54F1A" w:rsidP="00A2470A">
      <w:pPr>
        <w:pStyle w:val="FootnoteText"/>
      </w:pPr>
      <w:r>
        <w:rPr>
          <w:rStyle w:val="FootnoteReference"/>
        </w:rPr>
        <w:footnoteRef/>
      </w:r>
      <w:r>
        <w:t xml:space="preserve"> </w:t>
      </w:r>
      <w:r>
        <w:tab/>
      </w:r>
      <w:r w:rsidRPr="00F86F6F">
        <w:rPr>
          <w:szCs w:val="16"/>
        </w:rPr>
        <w:t>Q</w:t>
      </w:r>
      <w:r w:rsidRPr="00EB6D77">
        <w:rPr>
          <w:szCs w:val="16"/>
        </w:rPr>
        <w:t xml:space="preserve">ISU estimates the </w:t>
      </w:r>
      <w:r w:rsidRPr="00D31359">
        <w:rPr>
          <w:szCs w:val="16"/>
        </w:rPr>
        <w:t>injury data provided from ED at participating hospitals represent roughly one quarter to one fifth of all ED injury presentations in Queensland depending on the age group and injury type studied.</w:t>
      </w:r>
    </w:p>
  </w:footnote>
  <w:footnote w:id="25">
    <w:p w14:paraId="6F5959A1" w14:textId="77777777" w:rsidR="00B54F1A" w:rsidRDefault="00B54F1A" w:rsidP="00A2470A">
      <w:pPr>
        <w:pStyle w:val="FootnoteText"/>
      </w:pPr>
      <w:r>
        <w:rPr>
          <w:rStyle w:val="FootnoteReference"/>
        </w:rPr>
        <w:footnoteRef/>
      </w:r>
      <w:r>
        <w:t xml:space="preserve"> </w:t>
      </w:r>
      <w:r>
        <w:tab/>
        <w:t>The ACCC recognises the inherent limitations in the data available, namely that there is no national data available nor is there data that reflects the entirety of a state and has been conservative in the national projections of ED presentations.</w:t>
      </w:r>
    </w:p>
  </w:footnote>
  <w:footnote w:id="26">
    <w:p w14:paraId="51D0559F" w14:textId="77777777" w:rsidR="00B54F1A" w:rsidRDefault="00B54F1A" w:rsidP="00A2470A">
      <w:pPr>
        <w:pStyle w:val="FootnoteText"/>
        <w:rPr>
          <w:rFonts w:asciiTheme="minorHAnsi" w:hAnsiTheme="minorHAnsi" w:cstheme="minorHAnsi"/>
          <w:szCs w:val="16"/>
        </w:rPr>
      </w:pPr>
      <w:r w:rsidRPr="00997799">
        <w:rPr>
          <w:rStyle w:val="FootnoteReference"/>
          <w:rFonts w:asciiTheme="minorHAnsi" w:hAnsiTheme="minorHAnsi" w:cstheme="minorHAnsi"/>
          <w:szCs w:val="16"/>
        </w:rPr>
        <w:footnoteRef/>
      </w:r>
      <w:r w:rsidRPr="00997799">
        <w:rPr>
          <w:rFonts w:asciiTheme="minorHAnsi" w:hAnsiTheme="minorHAnsi" w:cstheme="minorHAnsi"/>
          <w:szCs w:val="16"/>
        </w:rPr>
        <w:t xml:space="preserve"> </w:t>
      </w:r>
      <w:r>
        <w:rPr>
          <w:rFonts w:asciiTheme="minorHAnsi" w:hAnsiTheme="minorHAnsi" w:cstheme="minorHAnsi"/>
          <w:szCs w:val="16"/>
        </w:rPr>
        <w:tab/>
      </w:r>
      <w:r w:rsidRPr="00997799">
        <w:rPr>
          <w:rFonts w:asciiTheme="minorHAnsi" w:hAnsiTheme="minorHAnsi" w:cstheme="minorHAnsi"/>
          <w:szCs w:val="16"/>
        </w:rPr>
        <w:t>Australian Bureau of Statistics, </w:t>
      </w:r>
      <w:r w:rsidRPr="00602630">
        <w:rPr>
          <w:rFonts w:asciiTheme="minorHAnsi" w:hAnsiTheme="minorHAnsi" w:cstheme="minorHAnsi"/>
          <w:i/>
          <w:iCs/>
          <w:color w:val="000000"/>
          <w:szCs w:val="16"/>
          <w:shd w:val="clear" w:color="auto" w:fill="FFFFFF"/>
        </w:rPr>
        <w:t>Quarterly population by sex, by state and territory, from June 1981 onwards</w:t>
      </w:r>
      <w:r w:rsidRPr="00997799">
        <w:rPr>
          <w:rFonts w:asciiTheme="minorHAnsi" w:hAnsiTheme="minorHAnsi" w:cstheme="minorHAnsi"/>
          <w:szCs w:val="16"/>
        </w:rPr>
        <w:t xml:space="preserve">, </w:t>
      </w:r>
      <w:r>
        <w:rPr>
          <w:rFonts w:asciiTheme="minorHAnsi" w:hAnsiTheme="minorHAnsi" w:cstheme="minorHAnsi"/>
          <w:szCs w:val="16"/>
        </w:rPr>
        <w:t xml:space="preserve">September 2021. </w:t>
      </w:r>
      <w:r w:rsidRPr="00997799">
        <w:rPr>
          <w:rFonts w:asciiTheme="minorHAnsi" w:hAnsiTheme="minorHAnsi" w:cstheme="minorHAnsi"/>
          <w:szCs w:val="16"/>
        </w:rPr>
        <w:t xml:space="preserve">ABS.Stat Dataset, cat. no. </w:t>
      </w:r>
      <w:r>
        <w:rPr>
          <w:rFonts w:asciiTheme="minorHAnsi" w:hAnsiTheme="minorHAnsi" w:cstheme="minorHAnsi"/>
          <w:szCs w:val="16"/>
        </w:rPr>
        <w:t>“</w:t>
      </w:r>
      <w:r w:rsidRPr="00997799">
        <w:rPr>
          <w:rFonts w:asciiTheme="minorHAnsi" w:hAnsiTheme="minorHAnsi" w:cstheme="minorHAnsi"/>
          <w:szCs w:val="16"/>
        </w:rPr>
        <w:t>3101.0, National, state and territory population, TABLE 4. Estimated Resident Population, States and Territories (Number)</w:t>
      </w:r>
      <w:r>
        <w:rPr>
          <w:rFonts w:asciiTheme="minorHAnsi" w:hAnsiTheme="minorHAnsi" w:cstheme="minorHAnsi"/>
          <w:szCs w:val="16"/>
        </w:rPr>
        <w:t>”</w:t>
      </w:r>
      <w:r w:rsidRPr="00997799">
        <w:rPr>
          <w:rFonts w:asciiTheme="minorHAnsi" w:hAnsiTheme="minorHAnsi" w:cstheme="minorHAnsi"/>
          <w:szCs w:val="16"/>
        </w:rPr>
        <w:t xml:space="preserve">, </w:t>
      </w:r>
      <w:r>
        <w:rPr>
          <w:rFonts w:asciiTheme="minorHAnsi" w:hAnsiTheme="minorHAnsi" w:cstheme="minorHAnsi"/>
          <w:szCs w:val="16"/>
        </w:rPr>
        <w:t>accessed</w:t>
      </w:r>
      <w:r w:rsidRPr="00997799">
        <w:rPr>
          <w:rFonts w:asciiTheme="minorHAnsi" w:hAnsiTheme="minorHAnsi" w:cstheme="minorHAnsi"/>
          <w:szCs w:val="16"/>
        </w:rPr>
        <w:t xml:space="preserve"> 14 February 2022.</w:t>
      </w:r>
      <w:r>
        <w:rPr>
          <w:rFonts w:asciiTheme="minorHAnsi" w:hAnsiTheme="minorHAnsi" w:cstheme="minorHAnsi"/>
          <w:szCs w:val="16"/>
        </w:rPr>
        <w:t xml:space="preserve"> Available at: </w:t>
      </w:r>
      <w:hyperlink r:id="rId14" w:history="1">
        <w:r w:rsidRPr="00343C9A">
          <w:rPr>
            <w:rStyle w:val="Hyperlink"/>
            <w:rFonts w:asciiTheme="minorHAnsi" w:hAnsiTheme="minorHAnsi" w:cstheme="minorHAnsi"/>
            <w:sz w:val="16"/>
            <w:szCs w:val="16"/>
          </w:rPr>
          <w:t>https://www.abs.gov.au/statistics/people/population/national-state-and-territory-population/latest-release</w:t>
        </w:r>
      </w:hyperlink>
      <w:r>
        <w:rPr>
          <w:rFonts w:asciiTheme="minorHAnsi" w:hAnsiTheme="minorHAnsi" w:cstheme="minorHAnsi"/>
          <w:szCs w:val="16"/>
        </w:rPr>
        <w:t xml:space="preserve">  </w:t>
      </w:r>
    </w:p>
    <w:p w14:paraId="40719066" w14:textId="77777777" w:rsidR="00B54F1A" w:rsidRPr="00997799" w:rsidRDefault="00B54F1A" w:rsidP="00A2470A">
      <w:pPr>
        <w:pStyle w:val="FootnoteText"/>
        <w:rPr>
          <w:rFonts w:asciiTheme="minorHAnsi" w:hAnsiTheme="minorHAnsi" w:cstheme="minorHAnsi"/>
          <w:szCs w:val="16"/>
        </w:rPr>
      </w:pPr>
      <w:r>
        <w:rPr>
          <w:rFonts w:asciiTheme="minorHAnsi" w:hAnsiTheme="minorHAnsi" w:cstheme="minorHAnsi"/>
          <w:szCs w:val="16"/>
        </w:rPr>
        <w:tab/>
        <w:t>We estimated that Queensland represents a fifth of the total population based on the following formula: Queensland population (December 2015 + June 2020) / Australia population (December 2015 + June 2020) = (4804933 + 5175245)/ (23984581 + 25693267) = 20.09%</w:t>
      </w:r>
    </w:p>
  </w:footnote>
  <w:footnote w:id="27">
    <w:p w14:paraId="5FBD7883" w14:textId="77777777" w:rsidR="00B54F1A" w:rsidRDefault="00B54F1A" w:rsidP="00A2470A">
      <w:pPr>
        <w:pStyle w:val="FootnoteText"/>
      </w:pPr>
      <w:r>
        <w:rPr>
          <w:rStyle w:val="FootnoteReference"/>
        </w:rPr>
        <w:footnoteRef/>
      </w:r>
      <w:r>
        <w:t xml:space="preserve"> </w:t>
      </w:r>
      <w:r>
        <w:tab/>
      </w:r>
      <w:r w:rsidRPr="00905836">
        <w:rPr>
          <w:rFonts w:asciiTheme="minorHAnsi" w:hAnsiTheme="minorHAnsi" w:cstheme="minorHAnsi"/>
          <w:szCs w:val="16"/>
        </w:rPr>
        <w:t xml:space="preserve">Australian Bureau of Statistics, </w:t>
      </w:r>
      <w:r w:rsidRPr="00602630">
        <w:rPr>
          <w:rFonts w:asciiTheme="minorHAnsi" w:hAnsiTheme="minorHAnsi" w:cstheme="minorHAnsi"/>
          <w:i/>
          <w:iCs/>
          <w:szCs w:val="16"/>
        </w:rPr>
        <w:t>Population Projections, Australia</w:t>
      </w:r>
      <w:r w:rsidRPr="00905836">
        <w:rPr>
          <w:rFonts w:asciiTheme="minorHAnsi" w:hAnsiTheme="minorHAnsi" w:cstheme="minorHAnsi"/>
          <w:szCs w:val="16"/>
        </w:rPr>
        <w:t xml:space="preserve">, </w:t>
      </w:r>
      <w:r>
        <w:rPr>
          <w:rFonts w:asciiTheme="minorHAnsi" w:hAnsiTheme="minorHAnsi" w:cstheme="minorHAnsi"/>
          <w:szCs w:val="16"/>
        </w:rPr>
        <w:t>“</w:t>
      </w:r>
      <w:r w:rsidRPr="00905836">
        <w:rPr>
          <w:rFonts w:asciiTheme="minorHAnsi" w:hAnsiTheme="minorHAnsi" w:cstheme="minorHAnsi"/>
          <w:color w:val="222222"/>
          <w:szCs w:val="16"/>
          <w:shd w:val="clear" w:color="auto" w:fill="FFFFFF"/>
        </w:rPr>
        <w:t>Population projections (based on assumptions of fertility, mortality and migration)</w:t>
      </w:r>
      <w:r>
        <w:rPr>
          <w:rFonts w:asciiTheme="minorHAnsi" w:hAnsiTheme="minorHAnsi" w:cstheme="minorHAnsi"/>
          <w:color w:val="222222"/>
          <w:szCs w:val="16"/>
          <w:shd w:val="clear" w:color="auto" w:fill="FFFFFF"/>
        </w:rPr>
        <w:t xml:space="preserve"> (medium series)</w:t>
      </w:r>
      <w:r w:rsidRPr="00905836">
        <w:rPr>
          <w:rFonts w:asciiTheme="minorHAnsi" w:hAnsiTheme="minorHAnsi" w:cstheme="minorHAnsi"/>
          <w:color w:val="222222"/>
          <w:szCs w:val="16"/>
          <w:shd w:val="clear" w:color="auto" w:fill="FFFFFF"/>
        </w:rPr>
        <w:t xml:space="preserve"> for Australia, states and territories and capital cities</w:t>
      </w:r>
      <w:r>
        <w:rPr>
          <w:rFonts w:asciiTheme="minorHAnsi" w:hAnsiTheme="minorHAnsi" w:cstheme="minorHAnsi"/>
          <w:color w:val="222222"/>
          <w:szCs w:val="16"/>
          <w:shd w:val="clear" w:color="auto" w:fill="FFFFFF"/>
        </w:rPr>
        <w:t xml:space="preserve">”, accessed 23 February 2022. Available at: </w:t>
      </w:r>
      <w:hyperlink r:id="rId15" w:history="1">
        <w:r w:rsidRPr="00343C9A">
          <w:rPr>
            <w:rStyle w:val="Hyperlink"/>
            <w:rFonts w:asciiTheme="minorHAnsi" w:hAnsiTheme="minorHAnsi" w:cstheme="minorHAnsi"/>
            <w:sz w:val="16"/>
            <w:szCs w:val="16"/>
            <w:shd w:val="clear" w:color="auto" w:fill="FFFFFF"/>
          </w:rPr>
          <w:t>https://www.abs.gov.au/statistics/people/population/population-projections-australia/2017-base-2066</w:t>
        </w:r>
      </w:hyperlink>
      <w:r>
        <w:rPr>
          <w:rFonts w:asciiTheme="minorHAnsi" w:hAnsiTheme="minorHAnsi" w:cstheme="minorHAnsi"/>
          <w:color w:val="222222"/>
          <w:szCs w:val="16"/>
          <w:shd w:val="clear" w:color="auto" w:fill="FFFFFF"/>
        </w:rPr>
        <w:t xml:space="preserve">, </w:t>
      </w:r>
    </w:p>
  </w:footnote>
  <w:footnote w:id="28">
    <w:p w14:paraId="02C5232B" w14:textId="77777777" w:rsidR="00B54F1A" w:rsidRPr="00515C58" w:rsidRDefault="00B54F1A" w:rsidP="00A2470A">
      <w:pPr>
        <w:rPr>
          <w:szCs w:val="16"/>
        </w:rPr>
      </w:pPr>
      <w:r w:rsidRPr="004B6F69">
        <w:rPr>
          <w:rStyle w:val="FootnoteReference"/>
          <w:sz w:val="16"/>
          <w:szCs w:val="16"/>
        </w:rPr>
        <w:footnoteRef/>
      </w:r>
      <w:r w:rsidRPr="004B6F69">
        <w:rPr>
          <w:sz w:val="16"/>
          <w:szCs w:val="16"/>
        </w:rPr>
        <w:t xml:space="preserve"> </w:t>
      </w:r>
      <w:r>
        <w:rPr>
          <w:sz w:val="16"/>
          <w:szCs w:val="16"/>
        </w:rPr>
        <w:tab/>
      </w:r>
      <w:r w:rsidRPr="00AB70FD">
        <w:rPr>
          <w:sz w:val="16"/>
          <w:szCs w:val="16"/>
        </w:rPr>
        <w:t>The figures presented here are in 2021 dollars</w:t>
      </w:r>
      <w:r>
        <w:rPr>
          <w:sz w:val="16"/>
          <w:szCs w:val="16"/>
        </w:rPr>
        <w:t xml:space="preserve"> and did not account for inflation and </w:t>
      </w:r>
      <w:r w:rsidRPr="00075ABC">
        <w:rPr>
          <w:sz w:val="16"/>
          <w:szCs w:val="16"/>
        </w:rPr>
        <w:t>for uncertainty in future costs.</w:t>
      </w:r>
    </w:p>
  </w:footnote>
  <w:footnote w:id="29">
    <w:p w14:paraId="738DE757" w14:textId="12348C72" w:rsidR="00B54F1A" w:rsidRDefault="00B54F1A">
      <w:pPr>
        <w:pStyle w:val="FootnoteText"/>
      </w:pPr>
      <w:r>
        <w:rPr>
          <w:rStyle w:val="FootnoteReference"/>
        </w:rPr>
        <w:footnoteRef/>
      </w:r>
      <w:r>
        <w:t xml:space="preserve">     Toppling furniture and televisions – Issues Paper, available at: </w:t>
      </w:r>
      <w:hyperlink r:id="rId16" w:history="1">
        <w:r w:rsidRPr="000347F6">
          <w:rPr>
            <w:rStyle w:val="Hyperlink"/>
            <w:sz w:val="16"/>
          </w:rPr>
          <w:t>https://consultation.accc.gov.au/product-safety/toppling-furniture-and-televisions-issues-paper/</w:t>
        </w:r>
      </w:hyperlink>
      <w:r>
        <w:t xml:space="preserve"> </w:t>
      </w:r>
    </w:p>
  </w:footnote>
  <w:footnote w:id="30">
    <w:p w14:paraId="5761BDFF" w14:textId="2A714361" w:rsidR="00B54F1A" w:rsidRPr="00067B85" w:rsidRDefault="00B54F1A" w:rsidP="00C360AD">
      <w:pPr>
        <w:pStyle w:val="FootnoteText"/>
        <w:rPr>
          <w:szCs w:val="16"/>
        </w:rPr>
      </w:pPr>
      <w:r w:rsidRPr="00ED4C5D">
        <w:rPr>
          <w:rStyle w:val="FootnoteReference"/>
          <w:szCs w:val="16"/>
        </w:rPr>
        <w:footnoteRef/>
      </w:r>
      <w:r w:rsidRPr="00067B85">
        <w:rPr>
          <w:szCs w:val="16"/>
        </w:rPr>
        <w:t xml:space="preserve"> </w:t>
      </w:r>
      <w:r>
        <w:rPr>
          <w:szCs w:val="16"/>
        </w:rPr>
        <w:tab/>
      </w:r>
      <w:r w:rsidRPr="00067B85">
        <w:rPr>
          <w:szCs w:val="16"/>
        </w:rPr>
        <w:t>Electrical Equipment Safety System. Accessed 1</w:t>
      </w:r>
      <w:r w:rsidRPr="00346C8E">
        <w:rPr>
          <w:szCs w:val="16"/>
        </w:rPr>
        <w:t xml:space="preserve">5 March 2022, available at: </w:t>
      </w:r>
      <w:hyperlink r:id="rId17" w:history="1">
        <w:r w:rsidRPr="00BD43C1">
          <w:rPr>
            <w:rStyle w:val="Hyperlink"/>
            <w:sz w:val="16"/>
            <w:szCs w:val="16"/>
          </w:rPr>
          <w:t>https://www.eess.gov.au/</w:t>
        </w:r>
      </w:hyperlink>
    </w:p>
  </w:footnote>
  <w:footnote w:id="31">
    <w:p w14:paraId="2979496A" w14:textId="69E690C6" w:rsidR="00B54F1A" w:rsidRDefault="00B54F1A">
      <w:pPr>
        <w:pStyle w:val="FootnoteText"/>
      </w:pPr>
      <w:r>
        <w:rPr>
          <w:rStyle w:val="FootnoteReference"/>
        </w:rPr>
        <w:footnoteRef/>
      </w:r>
      <w:r>
        <w:t xml:space="preserve"> </w:t>
      </w:r>
      <w:r>
        <w:tab/>
        <w:t xml:space="preserve">Toppling furniture – Consultation Regulation Impact Statement, available at </w:t>
      </w:r>
      <w:hyperlink r:id="rId18" w:history="1">
        <w:r w:rsidRPr="000347F6">
          <w:rPr>
            <w:rStyle w:val="Hyperlink"/>
            <w:sz w:val="16"/>
          </w:rPr>
          <w:t>https://consultation.accc.gov.au/product-safety/toppling-furniture-consultation-regulation-impact/</w:t>
        </w:r>
      </w:hyperlink>
      <w:r>
        <w:t xml:space="preserve"> </w:t>
      </w:r>
    </w:p>
  </w:footnote>
  <w:footnote w:id="32">
    <w:p w14:paraId="3A371847" w14:textId="1575434C" w:rsidR="00B54F1A" w:rsidRDefault="00B54F1A">
      <w:pPr>
        <w:pStyle w:val="FootnoteText"/>
      </w:pPr>
      <w:r>
        <w:rPr>
          <w:rStyle w:val="FootnoteReference"/>
        </w:rPr>
        <w:footnoteRef/>
      </w:r>
      <w:r>
        <w:t xml:space="preserve"> </w:t>
      </w:r>
      <w:r>
        <w:tab/>
        <w:t xml:space="preserve">N.B. Stakeholder views discussed in this paper have been summarised and collated by theme. </w:t>
      </w:r>
    </w:p>
  </w:footnote>
  <w:footnote w:id="33">
    <w:p w14:paraId="5BC2CA68" w14:textId="2BF6E360" w:rsidR="00B54F1A" w:rsidRDefault="00B54F1A" w:rsidP="00C360AD">
      <w:pPr>
        <w:pStyle w:val="FootnoteText"/>
      </w:pPr>
      <w:r>
        <w:rPr>
          <w:rStyle w:val="FootnoteReference"/>
        </w:rPr>
        <w:footnoteRef/>
      </w:r>
      <w:r>
        <w:t xml:space="preserve">      Longmire M, (2 July 2020) ‘</w:t>
      </w:r>
      <w:hyperlink r:id="rId19" w:history="1">
        <w:r w:rsidRPr="00071DC2">
          <w:rPr>
            <w:rStyle w:val="Hyperlink"/>
            <w:sz w:val="16"/>
          </w:rPr>
          <w:t>Anchoring furniture saves lives</w:t>
        </w:r>
      </w:hyperlink>
      <w:r>
        <w:t>’. CHOICE website, a</w:t>
      </w:r>
      <w:r w:rsidRPr="0033285C">
        <w:t>ccessed 7 June 2021.</w:t>
      </w:r>
    </w:p>
  </w:footnote>
  <w:footnote w:id="34">
    <w:p w14:paraId="57B881A5" w14:textId="4B9A9165" w:rsidR="00B54F1A" w:rsidRDefault="00B54F1A">
      <w:pPr>
        <w:pStyle w:val="FootnoteText"/>
      </w:pPr>
      <w:r>
        <w:rPr>
          <w:rStyle w:val="FootnoteReference"/>
        </w:rPr>
        <w:footnoteRef/>
      </w:r>
      <w:r>
        <w:t xml:space="preserve"> </w:t>
      </w:r>
      <w:r>
        <w:tab/>
        <w:t xml:space="preserve">US CPSC newsroom, 19 October 2022: </w:t>
      </w:r>
      <w:hyperlink r:id="rId20" w:history="1">
        <w:r w:rsidRPr="000E7F73">
          <w:rPr>
            <w:rStyle w:val="Hyperlink"/>
            <w:sz w:val="16"/>
          </w:rPr>
          <w:t>https://www.cpsc.gov/Newsroom/News-Releases/2023/CPSC-Approves-New-Federal-Safety-Standard-for-Dressers-and-Other-Clothing-Storage-Units-Rule-Aims-to-Reduce-Injuries-and-Deaths-Associated-with-Tip-Overs</w:t>
        </w:r>
      </w:hyperlink>
      <w:r>
        <w:t xml:space="preserve"> </w:t>
      </w:r>
    </w:p>
  </w:footnote>
  <w:footnote w:id="35">
    <w:p w14:paraId="6AC08118" w14:textId="3300A791" w:rsidR="00B54F1A" w:rsidRDefault="00B54F1A">
      <w:pPr>
        <w:pStyle w:val="FootnoteText"/>
      </w:pPr>
    </w:p>
  </w:footnote>
  <w:footnote w:id="36">
    <w:p w14:paraId="322C8B33" w14:textId="4DA57574" w:rsidR="00B54F1A" w:rsidRDefault="00B54F1A">
      <w:pPr>
        <w:pStyle w:val="FootnoteText"/>
      </w:pPr>
      <w:r>
        <w:rPr>
          <w:rStyle w:val="FootnoteReference"/>
        </w:rPr>
        <w:footnoteRef/>
      </w:r>
      <w:r>
        <w:t xml:space="preserve"> </w:t>
      </w:r>
      <w:r>
        <w:tab/>
        <w:t>This is a proposed standard and is not currently in force. Bookcases were out of scope for tests to this standard, as the standard prescribes testing limited to clothing storage units.</w:t>
      </w:r>
    </w:p>
  </w:footnote>
  <w:footnote w:id="37">
    <w:p w14:paraId="16D785A4" w14:textId="273118F5" w:rsidR="00B54F1A" w:rsidRDefault="00B54F1A">
      <w:pPr>
        <w:pStyle w:val="FootnoteText"/>
      </w:pPr>
      <w:r>
        <w:rPr>
          <w:rStyle w:val="FootnoteReference"/>
        </w:rPr>
        <w:footnoteRef/>
      </w:r>
      <w:r>
        <w:t xml:space="preserve"> </w:t>
      </w:r>
      <w:r>
        <w:tab/>
        <w:t xml:space="preserve">See Attachment B </w:t>
      </w:r>
    </w:p>
  </w:footnote>
  <w:footnote w:id="38">
    <w:p w14:paraId="10A2A1BC" w14:textId="7C94970E" w:rsidR="00B54F1A" w:rsidRDefault="00B54F1A" w:rsidP="00940E09">
      <w:pPr>
        <w:pStyle w:val="FootnoteText"/>
      </w:pPr>
      <w:r>
        <w:rPr>
          <w:rStyle w:val="FootnoteReference"/>
        </w:rPr>
        <w:footnoteRef/>
      </w:r>
      <w:r>
        <w:t xml:space="preserve"> </w:t>
      </w:r>
      <w:r>
        <w:tab/>
        <w:t xml:space="preserve">Consumer Product Safety Commission, </w:t>
      </w:r>
      <w:r w:rsidRPr="00272EED">
        <w:rPr>
          <w:i/>
          <w:iCs/>
        </w:rPr>
        <w:t>Warning Label Safety Symbol Research – Final Report with CPSC Staff Statement</w:t>
      </w:r>
      <w:r>
        <w:t xml:space="preserve">. December 14, 2021. Available at: </w:t>
      </w:r>
      <w:hyperlink r:id="rId21" w:history="1">
        <w:r w:rsidRPr="00343C9A">
          <w:rPr>
            <w:rStyle w:val="Hyperlink"/>
            <w:sz w:val="16"/>
          </w:rPr>
          <w:t>https://www.cpsc.gov/content/CPSC-Warning-Label-Safety-Symbol-Research-Final-Report-with-CPSC-Staff-Statement</w:t>
        </w:r>
      </w:hyperlink>
      <w:r>
        <w:rPr>
          <w:rStyle w:val="Hyperlink"/>
          <w:sz w:val="16"/>
        </w:rPr>
        <w:t xml:space="preserve"> </w:t>
      </w:r>
    </w:p>
  </w:footnote>
  <w:footnote w:id="39">
    <w:p w14:paraId="0E8A50F6" w14:textId="36C50229" w:rsidR="00B54F1A" w:rsidRDefault="00B54F1A">
      <w:pPr>
        <w:pStyle w:val="FootnoteText"/>
      </w:pPr>
      <w:r>
        <w:rPr>
          <w:rStyle w:val="FootnoteReference"/>
        </w:rPr>
        <w:footnoteRef/>
      </w:r>
      <w:r>
        <w:t xml:space="preserve"> </w:t>
      </w:r>
      <w:r>
        <w:tab/>
        <w:t>The estimates are based on previous ACCC market research and a combination of retail and commercial printing quotes. The cost range for anchoring devices was sourced from major hardware retailers.</w:t>
      </w:r>
    </w:p>
  </w:footnote>
  <w:footnote w:id="40">
    <w:p w14:paraId="07B83239" w14:textId="74C8A444" w:rsidR="00B54F1A" w:rsidRDefault="00B54F1A" w:rsidP="0013786F">
      <w:pPr>
        <w:pStyle w:val="FootnoteText"/>
      </w:pPr>
      <w:r>
        <w:rPr>
          <w:rStyle w:val="FootnoteReference"/>
        </w:rPr>
        <w:footnoteRef/>
      </w:r>
      <w:r>
        <w:t xml:space="preserve"> </w:t>
      </w:r>
      <w:r>
        <w:tab/>
        <w:t>Estimated costs to conduct expert and in-house stability testing were provided by Furntech AFRDI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5FBB4" w14:textId="77777777" w:rsidR="00B54F1A" w:rsidRDefault="00B54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AAFAB" w14:textId="77777777" w:rsidR="00B54F1A" w:rsidRDefault="00B54F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EA104" w14:textId="77777777" w:rsidR="00B54F1A" w:rsidRDefault="00B54F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7E761" w14:textId="77777777" w:rsidR="00B54F1A" w:rsidRPr="00274317" w:rsidRDefault="00B54F1A" w:rsidP="002743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76B7A" w14:textId="77777777" w:rsidR="00B54F1A" w:rsidRDefault="00B54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16242E1"/>
    <w:multiLevelType w:val="hybridMultilevel"/>
    <w:tmpl w:val="02583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646D0E"/>
    <w:multiLevelType w:val="hybridMultilevel"/>
    <w:tmpl w:val="F3603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C16386"/>
    <w:multiLevelType w:val="hybridMultilevel"/>
    <w:tmpl w:val="FF24D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D20BE8"/>
    <w:multiLevelType w:val="hybridMultilevel"/>
    <w:tmpl w:val="C95A0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C75A48"/>
    <w:multiLevelType w:val="hybridMultilevel"/>
    <w:tmpl w:val="534CEBF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236466D"/>
    <w:multiLevelType w:val="hybridMultilevel"/>
    <w:tmpl w:val="55BC6D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15:restartNumberingAfterBreak="0">
    <w:nsid w:val="147D2927"/>
    <w:multiLevelType w:val="hybridMultilevel"/>
    <w:tmpl w:val="0FA0B6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8" w15:restartNumberingAfterBreak="0">
    <w:nsid w:val="17205E6D"/>
    <w:multiLevelType w:val="hybridMultilevel"/>
    <w:tmpl w:val="0E4612E0"/>
    <w:lvl w:ilvl="0" w:tplc="C0B20066">
      <w:start w:val="1"/>
      <w:numFmt w:val="decimal"/>
      <w:lvlText w:val="%1."/>
      <w:lvlJc w:val="left"/>
      <w:pPr>
        <w:ind w:left="720" w:hanging="360"/>
      </w:pPr>
      <w:rPr>
        <w:b/>
        <w:bCs/>
      </w:rPr>
    </w:lvl>
    <w:lvl w:ilvl="1" w:tplc="5B52C838">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C7E3D6B"/>
    <w:multiLevelType w:val="hybridMultilevel"/>
    <w:tmpl w:val="FED01C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D38356A"/>
    <w:multiLevelType w:val="hybridMultilevel"/>
    <w:tmpl w:val="C5527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0C7ECE"/>
    <w:multiLevelType w:val="hybridMultilevel"/>
    <w:tmpl w:val="725836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B703C7"/>
    <w:multiLevelType w:val="multilevel"/>
    <w:tmpl w:val="7BBE9C18"/>
    <w:styleLink w:val="Style1"/>
    <w:lvl w:ilvl="0">
      <w:start w:val="1"/>
      <w:numFmt w:val="decimal"/>
      <w:lvlText w:val="%1"/>
      <w:lvlJc w:val="left"/>
      <w:pPr>
        <w:ind w:left="360" w:hanging="360"/>
      </w:pPr>
      <w:rPr>
        <w:rFonts w:hint="default"/>
        <w:i w:val="0"/>
        <w:iCs w:val="0"/>
        <w:strike w:val="0"/>
        <w:sz w:val="36"/>
        <w:szCs w:val="36"/>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77C6DC0"/>
    <w:multiLevelType w:val="hybridMultilevel"/>
    <w:tmpl w:val="37648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A460BC1"/>
    <w:multiLevelType w:val="hybridMultilevel"/>
    <w:tmpl w:val="46C0BDC0"/>
    <w:lvl w:ilvl="0" w:tplc="0C090003">
      <w:start w:val="1"/>
      <w:numFmt w:val="bullet"/>
      <w:lvlText w:val="o"/>
      <w:lvlJc w:val="left"/>
      <w:pPr>
        <w:ind w:left="1040" w:hanging="360"/>
      </w:pPr>
      <w:rPr>
        <w:rFonts w:ascii="Courier New" w:hAnsi="Courier New" w:cs="Courier New"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15:restartNumberingAfterBreak="0">
    <w:nsid w:val="2AED0A2C"/>
    <w:multiLevelType w:val="hybridMultilevel"/>
    <w:tmpl w:val="F6FE1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B017FEC"/>
    <w:multiLevelType w:val="hybridMultilevel"/>
    <w:tmpl w:val="975AFB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D717D26"/>
    <w:multiLevelType w:val="hybridMultilevel"/>
    <w:tmpl w:val="DCBED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9"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0"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2" w15:restartNumberingAfterBreak="0">
    <w:nsid w:val="3FAD1B38"/>
    <w:multiLevelType w:val="hybridMultilevel"/>
    <w:tmpl w:val="BE569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2A15A6E"/>
    <w:multiLevelType w:val="hybridMultilevel"/>
    <w:tmpl w:val="13FAC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74A17B8"/>
    <w:multiLevelType w:val="hybridMultilevel"/>
    <w:tmpl w:val="25C09D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091215D"/>
    <w:multiLevelType w:val="hybridMultilevel"/>
    <w:tmpl w:val="611A7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AB2A18"/>
    <w:multiLevelType w:val="hybridMultilevel"/>
    <w:tmpl w:val="34FE4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84B74A5"/>
    <w:multiLevelType w:val="hybridMultilevel"/>
    <w:tmpl w:val="8C7ACDD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40" w15:restartNumberingAfterBreak="0">
    <w:nsid w:val="5A8558DD"/>
    <w:multiLevelType w:val="hybridMultilevel"/>
    <w:tmpl w:val="D9A65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99270F"/>
    <w:multiLevelType w:val="hybridMultilevel"/>
    <w:tmpl w:val="B54467CA"/>
    <w:lvl w:ilvl="0" w:tplc="0C090001">
      <w:start w:val="1"/>
      <w:numFmt w:val="bullet"/>
      <w:lvlText w:val=""/>
      <w:lvlJc w:val="left"/>
      <w:pPr>
        <w:ind w:left="1716" w:hanging="360"/>
      </w:pPr>
      <w:rPr>
        <w:rFonts w:ascii="Symbol" w:hAnsi="Symbol" w:hint="default"/>
        <w:color w:val="auto"/>
      </w:rPr>
    </w:lvl>
    <w:lvl w:ilvl="1" w:tplc="0C090003">
      <w:start w:val="1"/>
      <w:numFmt w:val="bullet"/>
      <w:lvlText w:val="o"/>
      <w:lvlJc w:val="left"/>
      <w:pPr>
        <w:ind w:left="2436" w:hanging="360"/>
      </w:pPr>
      <w:rPr>
        <w:rFonts w:ascii="Courier New" w:hAnsi="Courier New" w:cs="Courier New" w:hint="default"/>
      </w:rPr>
    </w:lvl>
    <w:lvl w:ilvl="2" w:tplc="0C090005">
      <w:start w:val="1"/>
      <w:numFmt w:val="bullet"/>
      <w:lvlText w:val=""/>
      <w:lvlJc w:val="left"/>
      <w:pPr>
        <w:ind w:left="3156" w:hanging="360"/>
      </w:pPr>
      <w:rPr>
        <w:rFonts w:ascii="Wingdings" w:hAnsi="Wingdings" w:hint="default"/>
      </w:rPr>
    </w:lvl>
    <w:lvl w:ilvl="3" w:tplc="0C090001">
      <w:start w:val="1"/>
      <w:numFmt w:val="bullet"/>
      <w:lvlText w:val=""/>
      <w:lvlJc w:val="left"/>
      <w:pPr>
        <w:ind w:left="3876" w:hanging="360"/>
      </w:pPr>
      <w:rPr>
        <w:rFonts w:ascii="Symbol" w:hAnsi="Symbol" w:hint="default"/>
      </w:rPr>
    </w:lvl>
    <w:lvl w:ilvl="4" w:tplc="0C090003">
      <w:start w:val="1"/>
      <w:numFmt w:val="bullet"/>
      <w:lvlText w:val="o"/>
      <w:lvlJc w:val="left"/>
      <w:pPr>
        <w:ind w:left="4596" w:hanging="360"/>
      </w:pPr>
      <w:rPr>
        <w:rFonts w:ascii="Courier New" w:hAnsi="Courier New" w:cs="Courier New" w:hint="default"/>
      </w:rPr>
    </w:lvl>
    <w:lvl w:ilvl="5" w:tplc="0C090005" w:tentative="1">
      <w:start w:val="1"/>
      <w:numFmt w:val="bullet"/>
      <w:lvlText w:val=""/>
      <w:lvlJc w:val="left"/>
      <w:pPr>
        <w:ind w:left="5316" w:hanging="360"/>
      </w:pPr>
      <w:rPr>
        <w:rFonts w:ascii="Wingdings" w:hAnsi="Wingdings" w:hint="default"/>
      </w:rPr>
    </w:lvl>
    <w:lvl w:ilvl="6" w:tplc="0C090001" w:tentative="1">
      <w:start w:val="1"/>
      <w:numFmt w:val="bullet"/>
      <w:lvlText w:val=""/>
      <w:lvlJc w:val="left"/>
      <w:pPr>
        <w:ind w:left="6036" w:hanging="360"/>
      </w:pPr>
      <w:rPr>
        <w:rFonts w:ascii="Symbol" w:hAnsi="Symbol" w:hint="default"/>
      </w:rPr>
    </w:lvl>
    <w:lvl w:ilvl="7" w:tplc="0C090003" w:tentative="1">
      <w:start w:val="1"/>
      <w:numFmt w:val="bullet"/>
      <w:lvlText w:val="o"/>
      <w:lvlJc w:val="left"/>
      <w:pPr>
        <w:ind w:left="6756" w:hanging="360"/>
      </w:pPr>
      <w:rPr>
        <w:rFonts w:ascii="Courier New" w:hAnsi="Courier New" w:cs="Courier New" w:hint="default"/>
      </w:rPr>
    </w:lvl>
    <w:lvl w:ilvl="8" w:tplc="0C090005" w:tentative="1">
      <w:start w:val="1"/>
      <w:numFmt w:val="bullet"/>
      <w:lvlText w:val=""/>
      <w:lvlJc w:val="left"/>
      <w:pPr>
        <w:ind w:left="7476" w:hanging="360"/>
      </w:pPr>
      <w:rPr>
        <w:rFonts w:ascii="Wingdings" w:hAnsi="Wingdings" w:hint="default"/>
      </w:rPr>
    </w:lvl>
  </w:abstractNum>
  <w:abstractNum w:abstractNumId="42"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56644D3"/>
    <w:multiLevelType w:val="hybridMultilevel"/>
    <w:tmpl w:val="C47EC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5" w15:restartNumberingAfterBreak="0">
    <w:nsid w:val="688D4172"/>
    <w:multiLevelType w:val="hybridMultilevel"/>
    <w:tmpl w:val="C010C4E4"/>
    <w:lvl w:ilvl="0" w:tplc="A86EFCC6">
      <w:start w:val="2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C832B52"/>
    <w:multiLevelType w:val="multilevel"/>
    <w:tmpl w:val="65922E08"/>
    <w:lvl w:ilvl="0">
      <w:start w:val="1"/>
      <w:numFmt w:val="decimal"/>
      <w:pStyle w:val="Heading1"/>
      <w:lvlText w:val="%1"/>
      <w:lvlJc w:val="left"/>
      <w:pPr>
        <w:ind w:left="432" w:hanging="432"/>
      </w:pPr>
    </w:lvl>
    <w:lvl w:ilvl="1">
      <w:start w:val="1"/>
      <w:numFmt w:val="decimal"/>
      <w:pStyle w:val="Heading2"/>
      <w:lvlText w:val="%1.%2"/>
      <w:lvlJc w:val="left"/>
      <w:rPr>
        <w:specVanish w:val="0"/>
      </w:rPr>
    </w:lvl>
    <w:lvl w:ilvl="2">
      <w:start w:val="1"/>
      <w:numFmt w:val="decimal"/>
      <w:pStyle w:val="Heading3"/>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48"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49" w15:restartNumberingAfterBreak="0">
    <w:nsid w:val="74037337"/>
    <w:multiLevelType w:val="hybridMultilevel"/>
    <w:tmpl w:val="A272A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51"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52" w15:restartNumberingAfterBreak="0">
    <w:nsid w:val="7C036237"/>
    <w:multiLevelType w:val="hybridMultilevel"/>
    <w:tmpl w:val="6E785860"/>
    <w:lvl w:ilvl="0" w:tplc="E68C294A">
      <w:start w:val="1"/>
      <w:numFmt w:val="decimal"/>
      <w:lvlText w:val="%1."/>
      <w:lvlJc w:val="left"/>
      <w:pPr>
        <w:ind w:left="360" w:hanging="360"/>
      </w:pPr>
      <w:rPr>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53"/>
  </w:num>
  <w:num w:numId="3">
    <w:abstractNumId w:val="7"/>
  </w:num>
  <w:num w:numId="4">
    <w:abstractNumId w:val="6"/>
  </w:num>
  <w:num w:numId="5">
    <w:abstractNumId w:val="5"/>
  </w:num>
  <w:num w:numId="6">
    <w:abstractNumId w:val="4"/>
  </w:num>
  <w:num w:numId="7">
    <w:abstractNumId w:val="1"/>
  </w:num>
  <w:num w:numId="8">
    <w:abstractNumId w:val="0"/>
  </w:num>
  <w:num w:numId="9">
    <w:abstractNumId w:val="44"/>
  </w:num>
  <w:num w:numId="10">
    <w:abstractNumId w:val="30"/>
  </w:num>
  <w:num w:numId="11">
    <w:abstractNumId w:val="29"/>
  </w:num>
  <w:num w:numId="12">
    <w:abstractNumId w:val="2"/>
  </w:num>
  <w:num w:numId="13">
    <w:abstractNumId w:val="47"/>
  </w:num>
  <w:num w:numId="14">
    <w:abstractNumId w:val="51"/>
  </w:num>
  <w:num w:numId="15">
    <w:abstractNumId w:val="50"/>
  </w:num>
  <w:num w:numId="16">
    <w:abstractNumId w:val="39"/>
  </w:num>
  <w:num w:numId="17">
    <w:abstractNumId w:val="28"/>
  </w:num>
  <w:num w:numId="18">
    <w:abstractNumId w:val="31"/>
  </w:num>
  <w:num w:numId="19">
    <w:abstractNumId w:val="48"/>
  </w:num>
  <w:num w:numId="20">
    <w:abstractNumId w:val="42"/>
  </w:num>
  <w:num w:numId="21">
    <w:abstractNumId w:val="8"/>
  </w:num>
  <w:num w:numId="22">
    <w:abstractNumId w:val="3"/>
  </w:num>
  <w:num w:numId="23">
    <w:abstractNumId w:val="35"/>
  </w:num>
  <w:num w:numId="24">
    <w:abstractNumId w:val="17"/>
  </w:num>
  <w:num w:numId="25">
    <w:abstractNumId w:val="21"/>
  </w:num>
  <w:num w:numId="26">
    <w:abstractNumId w:val="32"/>
  </w:num>
  <w:num w:numId="27">
    <w:abstractNumId w:val="52"/>
  </w:num>
  <w:num w:numId="28">
    <w:abstractNumId w:val="46"/>
  </w:num>
  <w:num w:numId="29">
    <w:abstractNumId w:val="22"/>
  </w:num>
  <w:num w:numId="30">
    <w:abstractNumId w:val="16"/>
  </w:num>
  <w:num w:numId="31">
    <w:abstractNumId w:val="26"/>
  </w:num>
  <w:num w:numId="32">
    <w:abstractNumId w:val="23"/>
  </w:num>
  <w:num w:numId="33">
    <w:abstractNumId w:val="14"/>
  </w:num>
  <w:num w:numId="34">
    <w:abstractNumId w:val="11"/>
  </w:num>
  <w:num w:numId="35">
    <w:abstractNumId w:val="49"/>
  </w:num>
  <w:num w:numId="36">
    <w:abstractNumId w:val="33"/>
  </w:num>
  <w:num w:numId="37">
    <w:abstractNumId w:val="20"/>
  </w:num>
  <w:num w:numId="38">
    <w:abstractNumId w:val="10"/>
  </w:num>
  <w:num w:numId="39">
    <w:abstractNumId w:val="37"/>
  </w:num>
  <w:num w:numId="40">
    <w:abstractNumId w:val="36"/>
  </w:num>
  <w:num w:numId="41">
    <w:abstractNumId w:val="24"/>
  </w:num>
  <w:num w:numId="42">
    <w:abstractNumId w:val="43"/>
  </w:num>
  <w:num w:numId="43">
    <w:abstractNumId w:val="41"/>
  </w:num>
  <w:num w:numId="44">
    <w:abstractNumId w:val="40"/>
  </w:num>
  <w:num w:numId="45">
    <w:abstractNumId w:val="18"/>
  </w:num>
  <w:num w:numId="46">
    <w:abstractNumId w:val="13"/>
  </w:num>
  <w:num w:numId="47">
    <w:abstractNumId w:val="9"/>
  </w:num>
  <w:num w:numId="48">
    <w:abstractNumId w:val="34"/>
  </w:num>
  <w:num w:numId="49">
    <w:abstractNumId w:val="19"/>
  </w:num>
  <w:num w:numId="50">
    <w:abstractNumId w:val="12"/>
  </w:num>
  <w:num w:numId="51">
    <w:abstractNumId w:val="45"/>
  </w:num>
  <w:num w:numId="52">
    <w:abstractNumId w:val="25"/>
  </w:num>
  <w:num w:numId="53">
    <w:abstractNumId w:val="27"/>
  </w:num>
  <w:num w:numId="54">
    <w:abstractNumId w:val="46"/>
  </w:num>
  <w:num w:numId="55">
    <w:abstractNumId w:val="38"/>
  </w:num>
  <w:num w:numId="56">
    <w:abstractNumId w:val="53"/>
  </w:num>
  <w:num w:numId="57">
    <w:abstractNumId w:val="46"/>
  </w:num>
  <w:num w:numId="58">
    <w:abstractNumId w:val="46"/>
  </w:num>
  <w:num w:numId="59">
    <w:abstractNumId w:val="46"/>
  </w:num>
  <w:num w:numId="60">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name" w:val="\\homesharecl\HomeDrives\dsmit\Desktop\Normal.dotm"/>
  </w:docVars>
  <w:rsids>
    <w:rsidRoot w:val="00003445"/>
    <w:rsid w:val="00000227"/>
    <w:rsid w:val="000003BB"/>
    <w:rsid w:val="0000045C"/>
    <w:rsid w:val="000015BA"/>
    <w:rsid w:val="0000197D"/>
    <w:rsid w:val="00002B6F"/>
    <w:rsid w:val="000030D9"/>
    <w:rsid w:val="00003445"/>
    <w:rsid w:val="00003875"/>
    <w:rsid w:val="0000415D"/>
    <w:rsid w:val="00004565"/>
    <w:rsid w:val="00004786"/>
    <w:rsid w:val="00005805"/>
    <w:rsid w:val="000058EC"/>
    <w:rsid w:val="00005CB5"/>
    <w:rsid w:val="00005CDA"/>
    <w:rsid w:val="00006FD7"/>
    <w:rsid w:val="00007062"/>
    <w:rsid w:val="00010555"/>
    <w:rsid w:val="00011D0A"/>
    <w:rsid w:val="00012627"/>
    <w:rsid w:val="00012776"/>
    <w:rsid w:val="000127A3"/>
    <w:rsid w:val="00012B37"/>
    <w:rsid w:val="00012F2D"/>
    <w:rsid w:val="00013876"/>
    <w:rsid w:val="00013BED"/>
    <w:rsid w:val="00013FD1"/>
    <w:rsid w:val="000153E6"/>
    <w:rsid w:val="0001634C"/>
    <w:rsid w:val="00017331"/>
    <w:rsid w:val="000174DD"/>
    <w:rsid w:val="000175D2"/>
    <w:rsid w:val="0001778D"/>
    <w:rsid w:val="00020303"/>
    <w:rsid w:val="00020446"/>
    <w:rsid w:val="000209D5"/>
    <w:rsid w:val="00020A26"/>
    <w:rsid w:val="00020B24"/>
    <w:rsid w:val="00020EBF"/>
    <w:rsid w:val="0002115F"/>
    <w:rsid w:val="00021202"/>
    <w:rsid w:val="0002180A"/>
    <w:rsid w:val="0002186E"/>
    <w:rsid w:val="00021B08"/>
    <w:rsid w:val="000225C4"/>
    <w:rsid w:val="00022CC8"/>
    <w:rsid w:val="00022E9D"/>
    <w:rsid w:val="00023BFB"/>
    <w:rsid w:val="00023D39"/>
    <w:rsid w:val="000240EE"/>
    <w:rsid w:val="0002432D"/>
    <w:rsid w:val="000246FC"/>
    <w:rsid w:val="0002508C"/>
    <w:rsid w:val="00026244"/>
    <w:rsid w:val="000269B4"/>
    <w:rsid w:val="000270B6"/>
    <w:rsid w:val="000277A6"/>
    <w:rsid w:val="00027B67"/>
    <w:rsid w:val="00027DC6"/>
    <w:rsid w:val="00027EAB"/>
    <w:rsid w:val="00030622"/>
    <w:rsid w:val="00030B40"/>
    <w:rsid w:val="000312F4"/>
    <w:rsid w:val="000316A4"/>
    <w:rsid w:val="000320AA"/>
    <w:rsid w:val="000324EE"/>
    <w:rsid w:val="00032825"/>
    <w:rsid w:val="00032FE6"/>
    <w:rsid w:val="000334D1"/>
    <w:rsid w:val="000337CE"/>
    <w:rsid w:val="00033860"/>
    <w:rsid w:val="00033D1D"/>
    <w:rsid w:val="00033F2D"/>
    <w:rsid w:val="0003400F"/>
    <w:rsid w:val="00034BE9"/>
    <w:rsid w:val="00034DD6"/>
    <w:rsid w:val="0003578C"/>
    <w:rsid w:val="00035D62"/>
    <w:rsid w:val="00035DA8"/>
    <w:rsid w:val="00035F29"/>
    <w:rsid w:val="000363FA"/>
    <w:rsid w:val="0003654F"/>
    <w:rsid w:val="00036CD6"/>
    <w:rsid w:val="00037C1F"/>
    <w:rsid w:val="00037D8C"/>
    <w:rsid w:val="00037EEE"/>
    <w:rsid w:val="0004020B"/>
    <w:rsid w:val="000402C7"/>
    <w:rsid w:val="00040407"/>
    <w:rsid w:val="00040615"/>
    <w:rsid w:val="0004092B"/>
    <w:rsid w:val="000409B3"/>
    <w:rsid w:val="00040B84"/>
    <w:rsid w:val="000418B0"/>
    <w:rsid w:val="00041BCC"/>
    <w:rsid w:val="00041C77"/>
    <w:rsid w:val="00042139"/>
    <w:rsid w:val="00042AF8"/>
    <w:rsid w:val="00042E82"/>
    <w:rsid w:val="00043B58"/>
    <w:rsid w:val="0004403C"/>
    <w:rsid w:val="00044A13"/>
    <w:rsid w:val="00044A36"/>
    <w:rsid w:val="00044C3C"/>
    <w:rsid w:val="000453FD"/>
    <w:rsid w:val="0004560C"/>
    <w:rsid w:val="00045967"/>
    <w:rsid w:val="00045BD2"/>
    <w:rsid w:val="0004716F"/>
    <w:rsid w:val="00047B62"/>
    <w:rsid w:val="000504FA"/>
    <w:rsid w:val="00051572"/>
    <w:rsid w:val="00052153"/>
    <w:rsid w:val="00052525"/>
    <w:rsid w:val="00052C07"/>
    <w:rsid w:val="000530FF"/>
    <w:rsid w:val="00053443"/>
    <w:rsid w:val="00053621"/>
    <w:rsid w:val="0005410E"/>
    <w:rsid w:val="000544E3"/>
    <w:rsid w:val="00054C2E"/>
    <w:rsid w:val="00055656"/>
    <w:rsid w:val="00055C44"/>
    <w:rsid w:val="0005666A"/>
    <w:rsid w:val="00060A21"/>
    <w:rsid w:val="00060D07"/>
    <w:rsid w:val="0006111E"/>
    <w:rsid w:val="000613A6"/>
    <w:rsid w:val="00061A4C"/>
    <w:rsid w:val="00061B10"/>
    <w:rsid w:val="00061F25"/>
    <w:rsid w:val="00062395"/>
    <w:rsid w:val="00062583"/>
    <w:rsid w:val="00062966"/>
    <w:rsid w:val="00062B9E"/>
    <w:rsid w:val="00063247"/>
    <w:rsid w:val="000632B4"/>
    <w:rsid w:val="00063A3D"/>
    <w:rsid w:val="0006435B"/>
    <w:rsid w:val="000646F4"/>
    <w:rsid w:val="000647A9"/>
    <w:rsid w:val="000649B6"/>
    <w:rsid w:val="00064C31"/>
    <w:rsid w:val="000651F4"/>
    <w:rsid w:val="00065263"/>
    <w:rsid w:val="00065579"/>
    <w:rsid w:val="00065AC8"/>
    <w:rsid w:val="00065AEA"/>
    <w:rsid w:val="00065C41"/>
    <w:rsid w:val="00066A09"/>
    <w:rsid w:val="00066AF5"/>
    <w:rsid w:val="00066FD8"/>
    <w:rsid w:val="000679E9"/>
    <w:rsid w:val="000707E5"/>
    <w:rsid w:val="00070C42"/>
    <w:rsid w:val="00070C71"/>
    <w:rsid w:val="00070F9F"/>
    <w:rsid w:val="00071060"/>
    <w:rsid w:val="0007125D"/>
    <w:rsid w:val="0007137B"/>
    <w:rsid w:val="000720F6"/>
    <w:rsid w:val="00072DCF"/>
    <w:rsid w:val="00073221"/>
    <w:rsid w:val="00073358"/>
    <w:rsid w:val="000734C9"/>
    <w:rsid w:val="0007363D"/>
    <w:rsid w:val="000737F9"/>
    <w:rsid w:val="00073B62"/>
    <w:rsid w:val="00074125"/>
    <w:rsid w:val="000741FD"/>
    <w:rsid w:val="000745CB"/>
    <w:rsid w:val="00074B68"/>
    <w:rsid w:val="00074FCE"/>
    <w:rsid w:val="000753C3"/>
    <w:rsid w:val="000755B5"/>
    <w:rsid w:val="00075ABC"/>
    <w:rsid w:val="00075C7F"/>
    <w:rsid w:val="0007602C"/>
    <w:rsid w:val="0007605C"/>
    <w:rsid w:val="00076EB3"/>
    <w:rsid w:val="000776EA"/>
    <w:rsid w:val="00077A22"/>
    <w:rsid w:val="00077B3D"/>
    <w:rsid w:val="00077FD3"/>
    <w:rsid w:val="000801C0"/>
    <w:rsid w:val="0008185D"/>
    <w:rsid w:val="00081C45"/>
    <w:rsid w:val="00081E41"/>
    <w:rsid w:val="00083EE5"/>
    <w:rsid w:val="00084363"/>
    <w:rsid w:val="00084597"/>
    <w:rsid w:val="00084A41"/>
    <w:rsid w:val="00085663"/>
    <w:rsid w:val="00085D74"/>
    <w:rsid w:val="00085E2C"/>
    <w:rsid w:val="00085EBF"/>
    <w:rsid w:val="000866AD"/>
    <w:rsid w:val="00086EE3"/>
    <w:rsid w:val="000871BF"/>
    <w:rsid w:val="0008751F"/>
    <w:rsid w:val="00087C97"/>
    <w:rsid w:val="00087D4F"/>
    <w:rsid w:val="00090370"/>
    <w:rsid w:val="00090813"/>
    <w:rsid w:val="00090B88"/>
    <w:rsid w:val="00091A19"/>
    <w:rsid w:val="0009208A"/>
    <w:rsid w:val="000926E7"/>
    <w:rsid w:val="00092E32"/>
    <w:rsid w:val="00092F19"/>
    <w:rsid w:val="00093497"/>
    <w:rsid w:val="000934E1"/>
    <w:rsid w:val="00093957"/>
    <w:rsid w:val="00093A46"/>
    <w:rsid w:val="00093AF6"/>
    <w:rsid w:val="00093DE9"/>
    <w:rsid w:val="00094251"/>
    <w:rsid w:val="00094D28"/>
    <w:rsid w:val="0009587F"/>
    <w:rsid w:val="00095CC7"/>
    <w:rsid w:val="00095CDD"/>
    <w:rsid w:val="00096109"/>
    <w:rsid w:val="000966EA"/>
    <w:rsid w:val="00096C02"/>
    <w:rsid w:val="00096EE1"/>
    <w:rsid w:val="0009783C"/>
    <w:rsid w:val="000A0452"/>
    <w:rsid w:val="000A0A63"/>
    <w:rsid w:val="000A0BA6"/>
    <w:rsid w:val="000A1214"/>
    <w:rsid w:val="000A12A3"/>
    <w:rsid w:val="000A1C87"/>
    <w:rsid w:val="000A1D96"/>
    <w:rsid w:val="000A1ECF"/>
    <w:rsid w:val="000A2717"/>
    <w:rsid w:val="000A2A5E"/>
    <w:rsid w:val="000A2F1D"/>
    <w:rsid w:val="000A31A3"/>
    <w:rsid w:val="000A3286"/>
    <w:rsid w:val="000A3465"/>
    <w:rsid w:val="000A387E"/>
    <w:rsid w:val="000A3F75"/>
    <w:rsid w:val="000A50A5"/>
    <w:rsid w:val="000A5197"/>
    <w:rsid w:val="000A54E2"/>
    <w:rsid w:val="000A6703"/>
    <w:rsid w:val="000A6EA3"/>
    <w:rsid w:val="000A7298"/>
    <w:rsid w:val="000A7789"/>
    <w:rsid w:val="000B0974"/>
    <w:rsid w:val="000B09E5"/>
    <w:rsid w:val="000B1D9B"/>
    <w:rsid w:val="000B2B46"/>
    <w:rsid w:val="000B2F94"/>
    <w:rsid w:val="000B3029"/>
    <w:rsid w:val="000B321F"/>
    <w:rsid w:val="000B3423"/>
    <w:rsid w:val="000B37EB"/>
    <w:rsid w:val="000B3AA0"/>
    <w:rsid w:val="000B4B81"/>
    <w:rsid w:val="000B57F1"/>
    <w:rsid w:val="000B60A9"/>
    <w:rsid w:val="000B651B"/>
    <w:rsid w:val="000B688D"/>
    <w:rsid w:val="000B6CD3"/>
    <w:rsid w:val="000B6DAA"/>
    <w:rsid w:val="000B7028"/>
    <w:rsid w:val="000B7120"/>
    <w:rsid w:val="000B7BCC"/>
    <w:rsid w:val="000B7E11"/>
    <w:rsid w:val="000C03D4"/>
    <w:rsid w:val="000C042D"/>
    <w:rsid w:val="000C0B4B"/>
    <w:rsid w:val="000C1872"/>
    <w:rsid w:val="000C1C7A"/>
    <w:rsid w:val="000C301D"/>
    <w:rsid w:val="000C3AF0"/>
    <w:rsid w:val="000C4381"/>
    <w:rsid w:val="000C455B"/>
    <w:rsid w:val="000C46CA"/>
    <w:rsid w:val="000C4B5F"/>
    <w:rsid w:val="000C5D65"/>
    <w:rsid w:val="000C6373"/>
    <w:rsid w:val="000C654C"/>
    <w:rsid w:val="000C692F"/>
    <w:rsid w:val="000C7F10"/>
    <w:rsid w:val="000D006E"/>
    <w:rsid w:val="000D01F8"/>
    <w:rsid w:val="000D044C"/>
    <w:rsid w:val="000D06B2"/>
    <w:rsid w:val="000D1002"/>
    <w:rsid w:val="000D122C"/>
    <w:rsid w:val="000D133A"/>
    <w:rsid w:val="000D1981"/>
    <w:rsid w:val="000D2DC0"/>
    <w:rsid w:val="000D3383"/>
    <w:rsid w:val="000D396F"/>
    <w:rsid w:val="000D3A93"/>
    <w:rsid w:val="000D3F7B"/>
    <w:rsid w:val="000D4F15"/>
    <w:rsid w:val="000D566F"/>
    <w:rsid w:val="000D569A"/>
    <w:rsid w:val="000D5F38"/>
    <w:rsid w:val="000D61A2"/>
    <w:rsid w:val="000D61C3"/>
    <w:rsid w:val="000D7233"/>
    <w:rsid w:val="000D78DA"/>
    <w:rsid w:val="000D7B9B"/>
    <w:rsid w:val="000E055F"/>
    <w:rsid w:val="000E058A"/>
    <w:rsid w:val="000E0610"/>
    <w:rsid w:val="000E0643"/>
    <w:rsid w:val="000E0AD0"/>
    <w:rsid w:val="000E1819"/>
    <w:rsid w:val="000E262E"/>
    <w:rsid w:val="000E2957"/>
    <w:rsid w:val="000E3014"/>
    <w:rsid w:val="000E30BF"/>
    <w:rsid w:val="000E3274"/>
    <w:rsid w:val="000E3E56"/>
    <w:rsid w:val="000E3F57"/>
    <w:rsid w:val="000E426B"/>
    <w:rsid w:val="000E427F"/>
    <w:rsid w:val="000E4345"/>
    <w:rsid w:val="000E442E"/>
    <w:rsid w:val="000E4D95"/>
    <w:rsid w:val="000E56EA"/>
    <w:rsid w:val="000E5856"/>
    <w:rsid w:val="000E67DA"/>
    <w:rsid w:val="000E688A"/>
    <w:rsid w:val="000E6BC4"/>
    <w:rsid w:val="000E6C37"/>
    <w:rsid w:val="000E6C50"/>
    <w:rsid w:val="000E6C72"/>
    <w:rsid w:val="000E7054"/>
    <w:rsid w:val="000E7901"/>
    <w:rsid w:val="000E7E73"/>
    <w:rsid w:val="000E7F98"/>
    <w:rsid w:val="000F03CA"/>
    <w:rsid w:val="000F06B4"/>
    <w:rsid w:val="000F0EE8"/>
    <w:rsid w:val="000F0FED"/>
    <w:rsid w:val="000F148F"/>
    <w:rsid w:val="000F1587"/>
    <w:rsid w:val="000F17EB"/>
    <w:rsid w:val="000F1FAA"/>
    <w:rsid w:val="000F1FE0"/>
    <w:rsid w:val="000F2368"/>
    <w:rsid w:val="000F34FC"/>
    <w:rsid w:val="000F4016"/>
    <w:rsid w:val="000F4459"/>
    <w:rsid w:val="000F4768"/>
    <w:rsid w:val="000F52DB"/>
    <w:rsid w:val="000F5F7F"/>
    <w:rsid w:val="000F6028"/>
    <w:rsid w:val="000F6C1C"/>
    <w:rsid w:val="000F718B"/>
    <w:rsid w:val="00100308"/>
    <w:rsid w:val="001003AE"/>
    <w:rsid w:val="00100561"/>
    <w:rsid w:val="001006F4"/>
    <w:rsid w:val="00100793"/>
    <w:rsid w:val="00100B76"/>
    <w:rsid w:val="00100C07"/>
    <w:rsid w:val="00100EB9"/>
    <w:rsid w:val="00101300"/>
    <w:rsid w:val="001016FF"/>
    <w:rsid w:val="00102AFD"/>
    <w:rsid w:val="001036C3"/>
    <w:rsid w:val="00103881"/>
    <w:rsid w:val="00103C37"/>
    <w:rsid w:val="00103D75"/>
    <w:rsid w:val="0010435A"/>
    <w:rsid w:val="00104A8E"/>
    <w:rsid w:val="00104E8F"/>
    <w:rsid w:val="00106E4C"/>
    <w:rsid w:val="0010777A"/>
    <w:rsid w:val="00107892"/>
    <w:rsid w:val="00107CE3"/>
    <w:rsid w:val="00107D4C"/>
    <w:rsid w:val="0011030F"/>
    <w:rsid w:val="00110726"/>
    <w:rsid w:val="0011083F"/>
    <w:rsid w:val="00110E16"/>
    <w:rsid w:val="00111028"/>
    <w:rsid w:val="00111C85"/>
    <w:rsid w:val="00111E2F"/>
    <w:rsid w:val="001124FB"/>
    <w:rsid w:val="0011262F"/>
    <w:rsid w:val="00112833"/>
    <w:rsid w:val="00112BD4"/>
    <w:rsid w:val="00112BE2"/>
    <w:rsid w:val="00112DBA"/>
    <w:rsid w:val="00113A0B"/>
    <w:rsid w:val="00114398"/>
    <w:rsid w:val="001149FC"/>
    <w:rsid w:val="00114CD5"/>
    <w:rsid w:val="0011564D"/>
    <w:rsid w:val="001165C9"/>
    <w:rsid w:val="00116643"/>
    <w:rsid w:val="00116A62"/>
    <w:rsid w:val="00116CC7"/>
    <w:rsid w:val="00116EB2"/>
    <w:rsid w:val="001177C2"/>
    <w:rsid w:val="00117930"/>
    <w:rsid w:val="00117B0A"/>
    <w:rsid w:val="00121123"/>
    <w:rsid w:val="001211E8"/>
    <w:rsid w:val="00121278"/>
    <w:rsid w:val="00121FC9"/>
    <w:rsid w:val="001220D5"/>
    <w:rsid w:val="00122929"/>
    <w:rsid w:val="001237BE"/>
    <w:rsid w:val="0012457D"/>
    <w:rsid w:val="00124609"/>
    <w:rsid w:val="0012478B"/>
    <w:rsid w:val="00125044"/>
    <w:rsid w:val="0012538F"/>
    <w:rsid w:val="0012548C"/>
    <w:rsid w:val="00125B7A"/>
    <w:rsid w:val="00126DAC"/>
    <w:rsid w:val="001270A7"/>
    <w:rsid w:val="0012742F"/>
    <w:rsid w:val="001277EA"/>
    <w:rsid w:val="001307E8"/>
    <w:rsid w:val="00130A53"/>
    <w:rsid w:val="00130A6C"/>
    <w:rsid w:val="00130E47"/>
    <w:rsid w:val="001315D0"/>
    <w:rsid w:val="0013178D"/>
    <w:rsid w:val="001326AB"/>
    <w:rsid w:val="00132E4B"/>
    <w:rsid w:val="00134615"/>
    <w:rsid w:val="00134666"/>
    <w:rsid w:val="00134970"/>
    <w:rsid w:val="0013505E"/>
    <w:rsid w:val="00135475"/>
    <w:rsid w:val="001359C4"/>
    <w:rsid w:val="00135B5F"/>
    <w:rsid w:val="00135BD9"/>
    <w:rsid w:val="00136210"/>
    <w:rsid w:val="0013637D"/>
    <w:rsid w:val="00136ABD"/>
    <w:rsid w:val="0013703D"/>
    <w:rsid w:val="00137355"/>
    <w:rsid w:val="00137753"/>
    <w:rsid w:val="0013786F"/>
    <w:rsid w:val="001403D2"/>
    <w:rsid w:val="0014042B"/>
    <w:rsid w:val="00140544"/>
    <w:rsid w:val="00140E87"/>
    <w:rsid w:val="00141704"/>
    <w:rsid w:val="001417AA"/>
    <w:rsid w:val="00142522"/>
    <w:rsid w:val="00142DF8"/>
    <w:rsid w:val="00143CD4"/>
    <w:rsid w:val="001444CF"/>
    <w:rsid w:val="001449E0"/>
    <w:rsid w:val="00146999"/>
    <w:rsid w:val="00146BFC"/>
    <w:rsid w:val="0014724B"/>
    <w:rsid w:val="00147701"/>
    <w:rsid w:val="001477C0"/>
    <w:rsid w:val="00147D9E"/>
    <w:rsid w:val="00150583"/>
    <w:rsid w:val="00150BC0"/>
    <w:rsid w:val="00151E39"/>
    <w:rsid w:val="001522AA"/>
    <w:rsid w:val="0015231E"/>
    <w:rsid w:val="0015296D"/>
    <w:rsid w:val="0015345A"/>
    <w:rsid w:val="00153BCA"/>
    <w:rsid w:val="00153DD3"/>
    <w:rsid w:val="00153E58"/>
    <w:rsid w:val="0015407D"/>
    <w:rsid w:val="001549E5"/>
    <w:rsid w:val="001552EE"/>
    <w:rsid w:val="001556B4"/>
    <w:rsid w:val="0015590D"/>
    <w:rsid w:val="001561AB"/>
    <w:rsid w:val="0015695F"/>
    <w:rsid w:val="001573E4"/>
    <w:rsid w:val="00157DF1"/>
    <w:rsid w:val="00160756"/>
    <w:rsid w:val="00160A37"/>
    <w:rsid w:val="00160CAB"/>
    <w:rsid w:val="00160E32"/>
    <w:rsid w:val="00160FE4"/>
    <w:rsid w:val="001611ED"/>
    <w:rsid w:val="0016163B"/>
    <w:rsid w:val="00161953"/>
    <w:rsid w:val="001621A7"/>
    <w:rsid w:val="0016222D"/>
    <w:rsid w:val="00162286"/>
    <w:rsid w:val="00162493"/>
    <w:rsid w:val="00162664"/>
    <w:rsid w:val="001627E3"/>
    <w:rsid w:val="0016285F"/>
    <w:rsid w:val="00162F7E"/>
    <w:rsid w:val="00163616"/>
    <w:rsid w:val="00163836"/>
    <w:rsid w:val="00164044"/>
    <w:rsid w:val="00164066"/>
    <w:rsid w:val="0016444C"/>
    <w:rsid w:val="00164677"/>
    <w:rsid w:val="00164B3F"/>
    <w:rsid w:val="001654A7"/>
    <w:rsid w:val="001656E4"/>
    <w:rsid w:val="00165CF3"/>
    <w:rsid w:val="001660FA"/>
    <w:rsid w:val="0016630F"/>
    <w:rsid w:val="00166908"/>
    <w:rsid w:val="001669DF"/>
    <w:rsid w:val="00166EBD"/>
    <w:rsid w:val="00166F0B"/>
    <w:rsid w:val="001675D4"/>
    <w:rsid w:val="00167662"/>
    <w:rsid w:val="001677A0"/>
    <w:rsid w:val="00167824"/>
    <w:rsid w:val="00167FB9"/>
    <w:rsid w:val="001701B3"/>
    <w:rsid w:val="00170444"/>
    <w:rsid w:val="00170908"/>
    <w:rsid w:val="00170A62"/>
    <w:rsid w:val="00171177"/>
    <w:rsid w:val="00171512"/>
    <w:rsid w:val="00171B68"/>
    <w:rsid w:val="00172184"/>
    <w:rsid w:val="0017232E"/>
    <w:rsid w:val="001726B1"/>
    <w:rsid w:val="001728A5"/>
    <w:rsid w:val="001736F3"/>
    <w:rsid w:val="00174102"/>
    <w:rsid w:val="0017421D"/>
    <w:rsid w:val="0017446B"/>
    <w:rsid w:val="001744B2"/>
    <w:rsid w:val="0017458F"/>
    <w:rsid w:val="00174AC4"/>
    <w:rsid w:val="00174DF6"/>
    <w:rsid w:val="001755FA"/>
    <w:rsid w:val="00175600"/>
    <w:rsid w:val="00175F64"/>
    <w:rsid w:val="0017604F"/>
    <w:rsid w:val="00176160"/>
    <w:rsid w:val="001769F0"/>
    <w:rsid w:val="00176B0A"/>
    <w:rsid w:val="0017759E"/>
    <w:rsid w:val="00177D76"/>
    <w:rsid w:val="00180157"/>
    <w:rsid w:val="00180C05"/>
    <w:rsid w:val="00180E14"/>
    <w:rsid w:val="00181223"/>
    <w:rsid w:val="0018149D"/>
    <w:rsid w:val="00181C4B"/>
    <w:rsid w:val="00181F39"/>
    <w:rsid w:val="00183445"/>
    <w:rsid w:val="00183D71"/>
    <w:rsid w:val="00183F65"/>
    <w:rsid w:val="00184070"/>
    <w:rsid w:val="00184BB4"/>
    <w:rsid w:val="00184FCD"/>
    <w:rsid w:val="0018528C"/>
    <w:rsid w:val="00185982"/>
    <w:rsid w:val="00185E64"/>
    <w:rsid w:val="0018641C"/>
    <w:rsid w:val="001866A9"/>
    <w:rsid w:val="001867BD"/>
    <w:rsid w:val="00186ACB"/>
    <w:rsid w:val="00186D83"/>
    <w:rsid w:val="00186F77"/>
    <w:rsid w:val="00187141"/>
    <w:rsid w:val="00187384"/>
    <w:rsid w:val="001874C2"/>
    <w:rsid w:val="001878CB"/>
    <w:rsid w:val="00187BA3"/>
    <w:rsid w:val="00191227"/>
    <w:rsid w:val="00192549"/>
    <w:rsid w:val="001926A4"/>
    <w:rsid w:val="00192ABB"/>
    <w:rsid w:val="00192D0D"/>
    <w:rsid w:val="00193336"/>
    <w:rsid w:val="0019357E"/>
    <w:rsid w:val="00193863"/>
    <w:rsid w:val="00193C97"/>
    <w:rsid w:val="00194091"/>
    <w:rsid w:val="0019448E"/>
    <w:rsid w:val="001946D8"/>
    <w:rsid w:val="00194D1A"/>
    <w:rsid w:val="00194E26"/>
    <w:rsid w:val="00195387"/>
    <w:rsid w:val="00195D16"/>
    <w:rsid w:val="00196202"/>
    <w:rsid w:val="00196F73"/>
    <w:rsid w:val="00197012"/>
    <w:rsid w:val="00197386"/>
    <w:rsid w:val="001A020F"/>
    <w:rsid w:val="001A033B"/>
    <w:rsid w:val="001A06B9"/>
    <w:rsid w:val="001A1206"/>
    <w:rsid w:val="001A2A6F"/>
    <w:rsid w:val="001A2B00"/>
    <w:rsid w:val="001A32CA"/>
    <w:rsid w:val="001A3A19"/>
    <w:rsid w:val="001A3DBA"/>
    <w:rsid w:val="001A4D5E"/>
    <w:rsid w:val="001A51BB"/>
    <w:rsid w:val="001A5425"/>
    <w:rsid w:val="001A5935"/>
    <w:rsid w:val="001A5D12"/>
    <w:rsid w:val="001A66AF"/>
    <w:rsid w:val="001A6908"/>
    <w:rsid w:val="001A6E97"/>
    <w:rsid w:val="001A6F7E"/>
    <w:rsid w:val="001A7959"/>
    <w:rsid w:val="001A7FEF"/>
    <w:rsid w:val="001B0855"/>
    <w:rsid w:val="001B1598"/>
    <w:rsid w:val="001B1BA0"/>
    <w:rsid w:val="001B1D56"/>
    <w:rsid w:val="001B246B"/>
    <w:rsid w:val="001B24F5"/>
    <w:rsid w:val="001B2888"/>
    <w:rsid w:val="001B28F8"/>
    <w:rsid w:val="001B3046"/>
    <w:rsid w:val="001B3209"/>
    <w:rsid w:val="001B368A"/>
    <w:rsid w:val="001B3A3C"/>
    <w:rsid w:val="001B45A0"/>
    <w:rsid w:val="001B46BA"/>
    <w:rsid w:val="001B4A8D"/>
    <w:rsid w:val="001B507A"/>
    <w:rsid w:val="001B53F2"/>
    <w:rsid w:val="001B584E"/>
    <w:rsid w:val="001B5ADD"/>
    <w:rsid w:val="001B5DC4"/>
    <w:rsid w:val="001B7A9F"/>
    <w:rsid w:val="001B7C1F"/>
    <w:rsid w:val="001C0852"/>
    <w:rsid w:val="001C1008"/>
    <w:rsid w:val="001C12F1"/>
    <w:rsid w:val="001C18EE"/>
    <w:rsid w:val="001C1DD7"/>
    <w:rsid w:val="001C2871"/>
    <w:rsid w:val="001C3061"/>
    <w:rsid w:val="001C3A7B"/>
    <w:rsid w:val="001C3D9F"/>
    <w:rsid w:val="001C4236"/>
    <w:rsid w:val="001C4244"/>
    <w:rsid w:val="001C43A7"/>
    <w:rsid w:val="001C5A60"/>
    <w:rsid w:val="001C5AE2"/>
    <w:rsid w:val="001C5C84"/>
    <w:rsid w:val="001C5ED1"/>
    <w:rsid w:val="001C6D88"/>
    <w:rsid w:val="001C6F4C"/>
    <w:rsid w:val="001C77C5"/>
    <w:rsid w:val="001C798D"/>
    <w:rsid w:val="001C7DBC"/>
    <w:rsid w:val="001D055E"/>
    <w:rsid w:val="001D0D29"/>
    <w:rsid w:val="001D0EF6"/>
    <w:rsid w:val="001D189F"/>
    <w:rsid w:val="001D1CA8"/>
    <w:rsid w:val="001D2192"/>
    <w:rsid w:val="001D23D3"/>
    <w:rsid w:val="001D3283"/>
    <w:rsid w:val="001D3991"/>
    <w:rsid w:val="001D3B63"/>
    <w:rsid w:val="001D3C3C"/>
    <w:rsid w:val="001D4A49"/>
    <w:rsid w:val="001D4CD8"/>
    <w:rsid w:val="001D4E4D"/>
    <w:rsid w:val="001D50CA"/>
    <w:rsid w:val="001D613F"/>
    <w:rsid w:val="001D64B4"/>
    <w:rsid w:val="001D683D"/>
    <w:rsid w:val="001D6CBA"/>
    <w:rsid w:val="001D733A"/>
    <w:rsid w:val="001D750F"/>
    <w:rsid w:val="001D77CF"/>
    <w:rsid w:val="001D7FBC"/>
    <w:rsid w:val="001E098E"/>
    <w:rsid w:val="001E1119"/>
    <w:rsid w:val="001E1183"/>
    <w:rsid w:val="001E163F"/>
    <w:rsid w:val="001E179D"/>
    <w:rsid w:val="001E254F"/>
    <w:rsid w:val="001E291A"/>
    <w:rsid w:val="001E2ECE"/>
    <w:rsid w:val="001E2FEB"/>
    <w:rsid w:val="001E3B71"/>
    <w:rsid w:val="001E3D0A"/>
    <w:rsid w:val="001E4088"/>
    <w:rsid w:val="001E44D8"/>
    <w:rsid w:val="001E65EE"/>
    <w:rsid w:val="001E68F7"/>
    <w:rsid w:val="001E6D98"/>
    <w:rsid w:val="001E6F64"/>
    <w:rsid w:val="001E7B69"/>
    <w:rsid w:val="001F0B41"/>
    <w:rsid w:val="001F0BD0"/>
    <w:rsid w:val="001F15DB"/>
    <w:rsid w:val="001F1A2A"/>
    <w:rsid w:val="001F2360"/>
    <w:rsid w:val="001F29AC"/>
    <w:rsid w:val="001F3598"/>
    <w:rsid w:val="001F3A70"/>
    <w:rsid w:val="001F4416"/>
    <w:rsid w:val="001F44D6"/>
    <w:rsid w:val="001F4726"/>
    <w:rsid w:val="001F492E"/>
    <w:rsid w:val="001F4CE7"/>
    <w:rsid w:val="001F564D"/>
    <w:rsid w:val="001F63A2"/>
    <w:rsid w:val="001F680B"/>
    <w:rsid w:val="001F6A4F"/>
    <w:rsid w:val="001F6DA3"/>
    <w:rsid w:val="001F70DC"/>
    <w:rsid w:val="001F7184"/>
    <w:rsid w:val="001F73D2"/>
    <w:rsid w:val="001F7554"/>
    <w:rsid w:val="001F77B9"/>
    <w:rsid w:val="001F7868"/>
    <w:rsid w:val="001F797F"/>
    <w:rsid w:val="001F7B68"/>
    <w:rsid w:val="0020023C"/>
    <w:rsid w:val="00200437"/>
    <w:rsid w:val="0020045D"/>
    <w:rsid w:val="00200D2E"/>
    <w:rsid w:val="002018AE"/>
    <w:rsid w:val="00201E65"/>
    <w:rsid w:val="00201E99"/>
    <w:rsid w:val="002022EC"/>
    <w:rsid w:val="002024EF"/>
    <w:rsid w:val="002025AC"/>
    <w:rsid w:val="00202B60"/>
    <w:rsid w:val="00204160"/>
    <w:rsid w:val="00204963"/>
    <w:rsid w:val="00204EE6"/>
    <w:rsid w:val="002052C6"/>
    <w:rsid w:val="002054EC"/>
    <w:rsid w:val="00205EFA"/>
    <w:rsid w:val="002067C3"/>
    <w:rsid w:val="0020698A"/>
    <w:rsid w:val="002069C3"/>
    <w:rsid w:val="00206A7F"/>
    <w:rsid w:val="00206AE5"/>
    <w:rsid w:val="00206CF7"/>
    <w:rsid w:val="00206DA0"/>
    <w:rsid w:val="00207786"/>
    <w:rsid w:val="002101E0"/>
    <w:rsid w:val="00210864"/>
    <w:rsid w:val="00211CE7"/>
    <w:rsid w:val="00211F41"/>
    <w:rsid w:val="00212010"/>
    <w:rsid w:val="00212737"/>
    <w:rsid w:val="00212C63"/>
    <w:rsid w:val="00212D0A"/>
    <w:rsid w:val="00213230"/>
    <w:rsid w:val="00213742"/>
    <w:rsid w:val="0021393C"/>
    <w:rsid w:val="00214882"/>
    <w:rsid w:val="00214D24"/>
    <w:rsid w:val="00214F77"/>
    <w:rsid w:val="002162FE"/>
    <w:rsid w:val="00216E8E"/>
    <w:rsid w:val="002176D1"/>
    <w:rsid w:val="002176E7"/>
    <w:rsid w:val="0021774A"/>
    <w:rsid w:val="00220230"/>
    <w:rsid w:val="00220735"/>
    <w:rsid w:val="002207DD"/>
    <w:rsid w:val="00220910"/>
    <w:rsid w:val="0022107A"/>
    <w:rsid w:val="00221409"/>
    <w:rsid w:val="002215D9"/>
    <w:rsid w:val="00221AFB"/>
    <w:rsid w:val="00221CF3"/>
    <w:rsid w:val="0022248D"/>
    <w:rsid w:val="0022315A"/>
    <w:rsid w:val="002232EB"/>
    <w:rsid w:val="002236E1"/>
    <w:rsid w:val="0022401F"/>
    <w:rsid w:val="00224246"/>
    <w:rsid w:val="00224C1A"/>
    <w:rsid w:val="00224DB9"/>
    <w:rsid w:val="002254DB"/>
    <w:rsid w:val="0022594D"/>
    <w:rsid w:val="00225D30"/>
    <w:rsid w:val="00226588"/>
    <w:rsid w:val="0022714D"/>
    <w:rsid w:val="002278D4"/>
    <w:rsid w:val="00230808"/>
    <w:rsid w:val="00230930"/>
    <w:rsid w:val="0023238F"/>
    <w:rsid w:val="00232428"/>
    <w:rsid w:val="00232D93"/>
    <w:rsid w:val="0023341B"/>
    <w:rsid w:val="002335DE"/>
    <w:rsid w:val="002343D6"/>
    <w:rsid w:val="0023456C"/>
    <w:rsid w:val="002348E0"/>
    <w:rsid w:val="00234C69"/>
    <w:rsid w:val="00234E39"/>
    <w:rsid w:val="00235312"/>
    <w:rsid w:val="002354A2"/>
    <w:rsid w:val="0023573C"/>
    <w:rsid w:val="00236ABA"/>
    <w:rsid w:val="00236C1C"/>
    <w:rsid w:val="002371D2"/>
    <w:rsid w:val="002377DC"/>
    <w:rsid w:val="0023790F"/>
    <w:rsid w:val="00240534"/>
    <w:rsid w:val="00241486"/>
    <w:rsid w:val="00241AB1"/>
    <w:rsid w:val="00241CF6"/>
    <w:rsid w:val="00241ECF"/>
    <w:rsid w:val="0024209D"/>
    <w:rsid w:val="002421E6"/>
    <w:rsid w:val="002422B4"/>
    <w:rsid w:val="002424B7"/>
    <w:rsid w:val="002435E3"/>
    <w:rsid w:val="002436FD"/>
    <w:rsid w:val="002442FC"/>
    <w:rsid w:val="002445C7"/>
    <w:rsid w:val="00244BCC"/>
    <w:rsid w:val="00245FF6"/>
    <w:rsid w:val="00246824"/>
    <w:rsid w:val="00247214"/>
    <w:rsid w:val="002479CA"/>
    <w:rsid w:val="0025006D"/>
    <w:rsid w:val="0025025E"/>
    <w:rsid w:val="00250E0B"/>
    <w:rsid w:val="00251265"/>
    <w:rsid w:val="00251745"/>
    <w:rsid w:val="00251D67"/>
    <w:rsid w:val="00251FC4"/>
    <w:rsid w:val="00252F3B"/>
    <w:rsid w:val="002530D6"/>
    <w:rsid w:val="0025387D"/>
    <w:rsid w:val="00253EA5"/>
    <w:rsid w:val="00254415"/>
    <w:rsid w:val="00254672"/>
    <w:rsid w:val="002547CC"/>
    <w:rsid w:val="0025485E"/>
    <w:rsid w:val="002548CD"/>
    <w:rsid w:val="0025499A"/>
    <w:rsid w:val="00254AB5"/>
    <w:rsid w:val="00254BBE"/>
    <w:rsid w:val="002550D2"/>
    <w:rsid w:val="00255752"/>
    <w:rsid w:val="002558DD"/>
    <w:rsid w:val="00255D9F"/>
    <w:rsid w:val="00255FB1"/>
    <w:rsid w:val="00256BC1"/>
    <w:rsid w:val="002575DE"/>
    <w:rsid w:val="00257FD6"/>
    <w:rsid w:val="0026049E"/>
    <w:rsid w:val="00260C50"/>
    <w:rsid w:val="00261175"/>
    <w:rsid w:val="002611D8"/>
    <w:rsid w:val="00261287"/>
    <w:rsid w:val="00261299"/>
    <w:rsid w:val="00261CC7"/>
    <w:rsid w:val="002621B9"/>
    <w:rsid w:val="00263185"/>
    <w:rsid w:val="002632C5"/>
    <w:rsid w:val="002636EF"/>
    <w:rsid w:val="00263AC0"/>
    <w:rsid w:val="002640BD"/>
    <w:rsid w:val="002646CD"/>
    <w:rsid w:val="00264914"/>
    <w:rsid w:val="0026492B"/>
    <w:rsid w:val="00265480"/>
    <w:rsid w:val="00265D0C"/>
    <w:rsid w:val="002665DB"/>
    <w:rsid w:val="00266CBD"/>
    <w:rsid w:val="00267015"/>
    <w:rsid w:val="0026749E"/>
    <w:rsid w:val="0026772D"/>
    <w:rsid w:val="00267E8A"/>
    <w:rsid w:val="00270363"/>
    <w:rsid w:val="00270618"/>
    <w:rsid w:val="0027108C"/>
    <w:rsid w:val="00271101"/>
    <w:rsid w:val="002714F8"/>
    <w:rsid w:val="00271554"/>
    <w:rsid w:val="002715CC"/>
    <w:rsid w:val="0027162D"/>
    <w:rsid w:val="002719EF"/>
    <w:rsid w:val="00271A32"/>
    <w:rsid w:val="002722B7"/>
    <w:rsid w:val="00272A94"/>
    <w:rsid w:val="00272E21"/>
    <w:rsid w:val="00272EED"/>
    <w:rsid w:val="00273153"/>
    <w:rsid w:val="00273379"/>
    <w:rsid w:val="00273943"/>
    <w:rsid w:val="00273A60"/>
    <w:rsid w:val="00274317"/>
    <w:rsid w:val="00274A7E"/>
    <w:rsid w:val="00275556"/>
    <w:rsid w:val="002755D7"/>
    <w:rsid w:val="002755EA"/>
    <w:rsid w:val="00275646"/>
    <w:rsid w:val="00275741"/>
    <w:rsid w:val="00275C89"/>
    <w:rsid w:val="00276075"/>
    <w:rsid w:val="00276370"/>
    <w:rsid w:val="00276441"/>
    <w:rsid w:val="00276C88"/>
    <w:rsid w:val="00277036"/>
    <w:rsid w:val="00277260"/>
    <w:rsid w:val="00280355"/>
    <w:rsid w:val="00280971"/>
    <w:rsid w:val="00280CA6"/>
    <w:rsid w:val="002810E2"/>
    <w:rsid w:val="0028159E"/>
    <w:rsid w:val="00281AB9"/>
    <w:rsid w:val="002823F5"/>
    <w:rsid w:val="00282557"/>
    <w:rsid w:val="002826F6"/>
    <w:rsid w:val="002828AA"/>
    <w:rsid w:val="002830CA"/>
    <w:rsid w:val="0028313A"/>
    <w:rsid w:val="0028362C"/>
    <w:rsid w:val="00283C51"/>
    <w:rsid w:val="00283CE1"/>
    <w:rsid w:val="00283FC2"/>
    <w:rsid w:val="002848BC"/>
    <w:rsid w:val="0028524E"/>
    <w:rsid w:val="00286874"/>
    <w:rsid w:val="00286E29"/>
    <w:rsid w:val="0029097E"/>
    <w:rsid w:val="00290CCC"/>
    <w:rsid w:val="00291823"/>
    <w:rsid w:val="00291ED6"/>
    <w:rsid w:val="00291F25"/>
    <w:rsid w:val="00292AE1"/>
    <w:rsid w:val="002932B4"/>
    <w:rsid w:val="002934E0"/>
    <w:rsid w:val="00293901"/>
    <w:rsid w:val="00293BDD"/>
    <w:rsid w:val="00293CF1"/>
    <w:rsid w:val="00293EA1"/>
    <w:rsid w:val="00295CF4"/>
    <w:rsid w:val="00296B65"/>
    <w:rsid w:val="00296DB9"/>
    <w:rsid w:val="002974D9"/>
    <w:rsid w:val="002975FA"/>
    <w:rsid w:val="0029784A"/>
    <w:rsid w:val="00297F74"/>
    <w:rsid w:val="002A0BAF"/>
    <w:rsid w:val="002A1E63"/>
    <w:rsid w:val="002A2214"/>
    <w:rsid w:val="002A242D"/>
    <w:rsid w:val="002A27C4"/>
    <w:rsid w:val="002A32CA"/>
    <w:rsid w:val="002A3962"/>
    <w:rsid w:val="002A39C0"/>
    <w:rsid w:val="002A3C16"/>
    <w:rsid w:val="002A4743"/>
    <w:rsid w:val="002A49BC"/>
    <w:rsid w:val="002A4C96"/>
    <w:rsid w:val="002A4DD2"/>
    <w:rsid w:val="002A5135"/>
    <w:rsid w:val="002A55FF"/>
    <w:rsid w:val="002A5616"/>
    <w:rsid w:val="002A6D62"/>
    <w:rsid w:val="002A753E"/>
    <w:rsid w:val="002A7DEF"/>
    <w:rsid w:val="002A7E62"/>
    <w:rsid w:val="002B0528"/>
    <w:rsid w:val="002B0AA3"/>
    <w:rsid w:val="002B148C"/>
    <w:rsid w:val="002B1C4D"/>
    <w:rsid w:val="002B425F"/>
    <w:rsid w:val="002B4402"/>
    <w:rsid w:val="002B4713"/>
    <w:rsid w:val="002B4E48"/>
    <w:rsid w:val="002B531C"/>
    <w:rsid w:val="002B56C0"/>
    <w:rsid w:val="002B57BB"/>
    <w:rsid w:val="002B5EF8"/>
    <w:rsid w:val="002B6F76"/>
    <w:rsid w:val="002B777F"/>
    <w:rsid w:val="002C021C"/>
    <w:rsid w:val="002C067A"/>
    <w:rsid w:val="002C0DCF"/>
    <w:rsid w:val="002C0F8D"/>
    <w:rsid w:val="002C165F"/>
    <w:rsid w:val="002C185F"/>
    <w:rsid w:val="002C1FE5"/>
    <w:rsid w:val="002C2E7C"/>
    <w:rsid w:val="002C2F9B"/>
    <w:rsid w:val="002C360D"/>
    <w:rsid w:val="002C3AAE"/>
    <w:rsid w:val="002C452C"/>
    <w:rsid w:val="002C48E9"/>
    <w:rsid w:val="002C4B19"/>
    <w:rsid w:val="002C54C6"/>
    <w:rsid w:val="002C6281"/>
    <w:rsid w:val="002C6A48"/>
    <w:rsid w:val="002C6D73"/>
    <w:rsid w:val="002C75E5"/>
    <w:rsid w:val="002C7630"/>
    <w:rsid w:val="002C7C1F"/>
    <w:rsid w:val="002C7E31"/>
    <w:rsid w:val="002C7E6C"/>
    <w:rsid w:val="002D0DBA"/>
    <w:rsid w:val="002D11B5"/>
    <w:rsid w:val="002D210D"/>
    <w:rsid w:val="002D21FC"/>
    <w:rsid w:val="002D24CC"/>
    <w:rsid w:val="002D2533"/>
    <w:rsid w:val="002D25A6"/>
    <w:rsid w:val="002D2883"/>
    <w:rsid w:val="002D2F87"/>
    <w:rsid w:val="002D354A"/>
    <w:rsid w:val="002D39DB"/>
    <w:rsid w:val="002D3D09"/>
    <w:rsid w:val="002D42B8"/>
    <w:rsid w:val="002D4A4A"/>
    <w:rsid w:val="002D4FAE"/>
    <w:rsid w:val="002D56A0"/>
    <w:rsid w:val="002D5B67"/>
    <w:rsid w:val="002D610C"/>
    <w:rsid w:val="002D6236"/>
    <w:rsid w:val="002D6E96"/>
    <w:rsid w:val="002E0952"/>
    <w:rsid w:val="002E0D40"/>
    <w:rsid w:val="002E137C"/>
    <w:rsid w:val="002E1621"/>
    <w:rsid w:val="002E17DD"/>
    <w:rsid w:val="002E1B25"/>
    <w:rsid w:val="002E34CC"/>
    <w:rsid w:val="002E35BE"/>
    <w:rsid w:val="002E379B"/>
    <w:rsid w:val="002E3AAD"/>
    <w:rsid w:val="002E3EC4"/>
    <w:rsid w:val="002E48FD"/>
    <w:rsid w:val="002E4951"/>
    <w:rsid w:val="002E55ED"/>
    <w:rsid w:val="002E59A5"/>
    <w:rsid w:val="002E5AEB"/>
    <w:rsid w:val="002E5BAE"/>
    <w:rsid w:val="002E671C"/>
    <w:rsid w:val="002E6B8E"/>
    <w:rsid w:val="002E6FCA"/>
    <w:rsid w:val="002E71A5"/>
    <w:rsid w:val="002E7CB0"/>
    <w:rsid w:val="002F0397"/>
    <w:rsid w:val="002F03DB"/>
    <w:rsid w:val="002F08EE"/>
    <w:rsid w:val="002F0A9D"/>
    <w:rsid w:val="002F103C"/>
    <w:rsid w:val="002F13BE"/>
    <w:rsid w:val="002F1C82"/>
    <w:rsid w:val="002F1E39"/>
    <w:rsid w:val="002F22DA"/>
    <w:rsid w:val="002F24A4"/>
    <w:rsid w:val="002F2B1A"/>
    <w:rsid w:val="002F3016"/>
    <w:rsid w:val="002F3654"/>
    <w:rsid w:val="002F370A"/>
    <w:rsid w:val="002F3EB5"/>
    <w:rsid w:val="002F3F2A"/>
    <w:rsid w:val="002F4C93"/>
    <w:rsid w:val="002F51FC"/>
    <w:rsid w:val="002F5B8C"/>
    <w:rsid w:val="002F644B"/>
    <w:rsid w:val="002F6A07"/>
    <w:rsid w:val="002F7058"/>
    <w:rsid w:val="002F7986"/>
    <w:rsid w:val="00300327"/>
    <w:rsid w:val="003004ED"/>
    <w:rsid w:val="0030067D"/>
    <w:rsid w:val="00300DDD"/>
    <w:rsid w:val="00301C3C"/>
    <w:rsid w:val="003022AC"/>
    <w:rsid w:val="00302374"/>
    <w:rsid w:val="00302877"/>
    <w:rsid w:val="00302DE7"/>
    <w:rsid w:val="003034AF"/>
    <w:rsid w:val="00303C4A"/>
    <w:rsid w:val="00304456"/>
    <w:rsid w:val="0030450D"/>
    <w:rsid w:val="003045A4"/>
    <w:rsid w:val="00304864"/>
    <w:rsid w:val="00304FB5"/>
    <w:rsid w:val="00305189"/>
    <w:rsid w:val="003058B9"/>
    <w:rsid w:val="00305D21"/>
    <w:rsid w:val="00306DAF"/>
    <w:rsid w:val="00306F2F"/>
    <w:rsid w:val="00307A74"/>
    <w:rsid w:val="00307E55"/>
    <w:rsid w:val="00307F6D"/>
    <w:rsid w:val="00310553"/>
    <w:rsid w:val="00310EFE"/>
    <w:rsid w:val="003117B4"/>
    <w:rsid w:val="00311A1F"/>
    <w:rsid w:val="00311F57"/>
    <w:rsid w:val="00311F8F"/>
    <w:rsid w:val="0031205B"/>
    <w:rsid w:val="00312DE0"/>
    <w:rsid w:val="00312EE9"/>
    <w:rsid w:val="00313941"/>
    <w:rsid w:val="00313E84"/>
    <w:rsid w:val="00313EA5"/>
    <w:rsid w:val="00314F3E"/>
    <w:rsid w:val="003150AC"/>
    <w:rsid w:val="0031543E"/>
    <w:rsid w:val="003162E1"/>
    <w:rsid w:val="003167B7"/>
    <w:rsid w:val="00316F08"/>
    <w:rsid w:val="003177A2"/>
    <w:rsid w:val="003179B6"/>
    <w:rsid w:val="0032009B"/>
    <w:rsid w:val="00320284"/>
    <w:rsid w:val="003209C0"/>
    <w:rsid w:val="00321433"/>
    <w:rsid w:val="003224F7"/>
    <w:rsid w:val="00322B39"/>
    <w:rsid w:val="00323853"/>
    <w:rsid w:val="003238FE"/>
    <w:rsid w:val="003239E9"/>
    <w:rsid w:val="00323BE5"/>
    <w:rsid w:val="00324D6A"/>
    <w:rsid w:val="003251E0"/>
    <w:rsid w:val="00325A79"/>
    <w:rsid w:val="00326A54"/>
    <w:rsid w:val="003271B5"/>
    <w:rsid w:val="003301BA"/>
    <w:rsid w:val="003303C8"/>
    <w:rsid w:val="00330CA0"/>
    <w:rsid w:val="00330F5F"/>
    <w:rsid w:val="00331264"/>
    <w:rsid w:val="0033155E"/>
    <w:rsid w:val="00331F51"/>
    <w:rsid w:val="00332005"/>
    <w:rsid w:val="0033268E"/>
    <w:rsid w:val="003339D0"/>
    <w:rsid w:val="00333B83"/>
    <w:rsid w:val="00333BAB"/>
    <w:rsid w:val="00334C8D"/>
    <w:rsid w:val="0033566F"/>
    <w:rsid w:val="00335E0F"/>
    <w:rsid w:val="003368B8"/>
    <w:rsid w:val="0033699A"/>
    <w:rsid w:val="0033765F"/>
    <w:rsid w:val="00337BA6"/>
    <w:rsid w:val="0034028C"/>
    <w:rsid w:val="00340655"/>
    <w:rsid w:val="00340C36"/>
    <w:rsid w:val="003412DB"/>
    <w:rsid w:val="00341361"/>
    <w:rsid w:val="003413A2"/>
    <w:rsid w:val="003417A7"/>
    <w:rsid w:val="00341D13"/>
    <w:rsid w:val="00341DA8"/>
    <w:rsid w:val="00341E11"/>
    <w:rsid w:val="00342403"/>
    <w:rsid w:val="00342919"/>
    <w:rsid w:val="00342DFF"/>
    <w:rsid w:val="003431AB"/>
    <w:rsid w:val="003433F2"/>
    <w:rsid w:val="003434BC"/>
    <w:rsid w:val="003442A3"/>
    <w:rsid w:val="00345276"/>
    <w:rsid w:val="00345789"/>
    <w:rsid w:val="003459E6"/>
    <w:rsid w:val="00345C88"/>
    <w:rsid w:val="00345D0E"/>
    <w:rsid w:val="0034659E"/>
    <w:rsid w:val="00346C56"/>
    <w:rsid w:val="0034728B"/>
    <w:rsid w:val="003475C0"/>
    <w:rsid w:val="0034784C"/>
    <w:rsid w:val="00347A6A"/>
    <w:rsid w:val="00347C45"/>
    <w:rsid w:val="00347D6D"/>
    <w:rsid w:val="0035027C"/>
    <w:rsid w:val="00350A4F"/>
    <w:rsid w:val="00350C52"/>
    <w:rsid w:val="00350F51"/>
    <w:rsid w:val="0035100F"/>
    <w:rsid w:val="003516DD"/>
    <w:rsid w:val="00351835"/>
    <w:rsid w:val="003518B3"/>
    <w:rsid w:val="00352B0D"/>
    <w:rsid w:val="00353068"/>
    <w:rsid w:val="0035368C"/>
    <w:rsid w:val="003537AA"/>
    <w:rsid w:val="0035392D"/>
    <w:rsid w:val="00353E78"/>
    <w:rsid w:val="00354246"/>
    <w:rsid w:val="003544CC"/>
    <w:rsid w:val="00355072"/>
    <w:rsid w:val="00355620"/>
    <w:rsid w:val="0035580A"/>
    <w:rsid w:val="00355914"/>
    <w:rsid w:val="00356672"/>
    <w:rsid w:val="00356B74"/>
    <w:rsid w:val="00356D2F"/>
    <w:rsid w:val="00357665"/>
    <w:rsid w:val="003578D2"/>
    <w:rsid w:val="00357953"/>
    <w:rsid w:val="00360154"/>
    <w:rsid w:val="003609F4"/>
    <w:rsid w:val="00361019"/>
    <w:rsid w:val="0036116A"/>
    <w:rsid w:val="00361E12"/>
    <w:rsid w:val="003633F3"/>
    <w:rsid w:val="0036346B"/>
    <w:rsid w:val="00363EB7"/>
    <w:rsid w:val="00364201"/>
    <w:rsid w:val="00364492"/>
    <w:rsid w:val="003647B1"/>
    <w:rsid w:val="003647E1"/>
    <w:rsid w:val="00364EBA"/>
    <w:rsid w:val="003652F1"/>
    <w:rsid w:val="00365A2A"/>
    <w:rsid w:val="003665B2"/>
    <w:rsid w:val="00366E4A"/>
    <w:rsid w:val="00367070"/>
    <w:rsid w:val="003670DA"/>
    <w:rsid w:val="00367306"/>
    <w:rsid w:val="003678F6"/>
    <w:rsid w:val="00367C32"/>
    <w:rsid w:val="00370372"/>
    <w:rsid w:val="00370432"/>
    <w:rsid w:val="003708E0"/>
    <w:rsid w:val="00370C46"/>
    <w:rsid w:val="00371055"/>
    <w:rsid w:val="00371641"/>
    <w:rsid w:val="00371D37"/>
    <w:rsid w:val="0037225D"/>
    <w:rsid w:val="0037288D"/>
    <w:rsid w:val="00372BD4"/>
    <w:rsid w:val="00373BC5"/>
    <w:rsid w:val="00373D9E"/>
    <w:rsid w:val="00373EC9"/>
    <w:rsid w:val="00373ECF"/>
    <w:rsid w:val="00374498"/>
    <w:rsid w:val="00375543"/>
    <w:rsid w:val="003757D5"/>
    <w:rsid w:val="0037616D"/>
    <w:rsid w:val="003765EA"/>
    <w:rsid w:val="0037672A"/>
    <w:rsid w:val="00377A66"/>
    <w:rsid w:val="00380133"/>
    <w:rsid w:val="003801C2"/>
    <w:rsid w:val="003803B1"/>
    <w:rsid w:val="003805CE"/>
    <w:rsid w:val="00380C9F"/>
    <w:rsid w:val="003812B2"/>
    <w:rsid w:val="003812EC"/>
    <w:rsid w:val="003828FD"/>
    <w:rsid w:val="00382989"/>
    <w:rsid w:val="00382FBA"/>
    <w:rsid w:val="003843CE"/>
    <w:rsid w:val="003846F1"/>
    <w:rsid w:val="003849B3"/>
    <w:rsid w:val="00384B05"/>
    <w:rsid w:val="003859BB"/>
    <w:rsid w:val="00385E8E"/>
    <w:rsid w:val="00385FA2"/>
    <w:rsid w:val="003863D3"/>
    <w:rsid w:val="00386FE3"/>
    <w:rsid w:val="00387175"/>
    <w:rsid w:val="0038785D"/>
    <w:rsid w:val="00387E06"/>
    <w:rsid w:val="003901F9"/>
    <w:rsid w:val="0039031E"/>
    <w:rsid w:val="0039056E"/>
    <w:rsid w:val="00390951"/>
    <w:rsid w:val="00390F7D"/>
    <w:rsid w:val="0039187A"/>
    <w:rsid w:val="00391C4A"/>
    <w:rsid w:val="00391F4C"/>
    <w:rsid w:val="00391FCC"/>
    <w:rsid w:val="0039205D"/>
    <w:rsid w:val="00392074"/>
    <w:rsid w:val="0039294A"/>
    <w:rsid w:val="0039387D"/>
    <w:rsid w:val="003938BB"/>
    <w:rsid w:val="0039457F"/>
    <w:rsid w:val="00394952"/>
    <w:rsid w:val="00394D65"/>
    <w:rsid w:val="00395E14"/>
    <w:rsid w:val="00395F5E"/>
    <w:rsid w:val="003961ED"/>
    <w:rsid w:val="0039693C"/>
    <w:rsid w:val="00396B63"/>
    <w:rsid w:val="00396B6E"/>
    <w:rsid w:val="00397764"/>
    <w:rsid w:val="00397818"/>
    <w:rsid w:val="00397BE3"/>
    <w:rsid w:val="00397FD2"/>
    <w:rsid w:val="003A0526"/>
    <w:rsid w:val="003A0990"/>
    <w:rsid w:val="003A1071"/>
    <w:rsid w:val="003A16B9"/>
    <w:rsid w:val="003A172D"/>
    <w:rsid w:val="003A2B22"/>
    <w:rsid w:val="003A2B3D"/>
    <w:rsid w:val="003A3074"/>
    <w:rsid w:val="003A30D2"/>
    <w:rsid w:val="003A38FC"/>
    <w:rsid w:val="003A3E5F"/>
    <w:rsid w:val="003A5113"/>
    <w:rsid w:val="003A5613"/>
    <w:rsid w:val="003A5D81"/>
    <w:rsid w:val="003A639D"/>
    <w:rsid w:val="003A6623"/>
    <w:rsid w:val="003A66E5"/>
    <w:rsid w:val="003A673F"/>
    <w:rsid w:val="003A67CA"/>
    <w:rsid w:val="003A6C43"/>
    <w:rsid w:val="003A7695"/>
    <w:rsid w:val="003A787F"/>
    <w:rsid w:val="003B0348"/>
    <w:rsid w:val="003B0B2A"/>
    <w:rsid w:val="003B0D28"/>
    <w:rsid w:val="003B0DD4"/>
    <w:rsid w:val="003B11B2"/>
    <w:rsid w:val="003B183D"/>
    <w:rsid w:val="003B2201"/>
    <w:rsid w:val="003B23D5"/>
    <w:rsid w:val="003B2CEF"/>
    <w:rsid w:val="003B37A8"/>
    <w:rsid w:val="003B4077"/>
    <w:rsid w:val="003B458D"/>
    <w:rsid w:val="003B4A96"/>
    <w:rsid w:val="003B4DC0"/>
    <w:rsid w:val="003B5522"/>
    <w:rsid w:val="003B5A70"/>
    <w:rsid w:val="003B658A"/>
    <w:rsid w:val="003B68F5"/>
    <w:rsid w:val="003B6A5E"/>
    <w:rsid w:val="003B6CB5"/>
    <w:rsid w:val="003B70D6"/>
    <w:rsid w:val="003B7793"/>
    <w:rsid w:val="003B7F67"/>
    <w:rsid w:val="003C01B3"/>
    <w:rsid w:val="003C02F4"/>
    <w:rsid w:val="003C1951"/>
    <w:rsid w:val="003C19EC"/>
    <w:rsid w:val="003C1D68"/>
    <w:rsid w:val="003C2112"/>
    <w:rsid w:val="003C214C"/>
    <w:rsid w:val="003C2A71"/>
    <w:rsid w:val="003C3452"/>
    <w:rsid w:val="003C3695"/>
    <w:rsid w:val="003C3B1D"/>
    <w:rsid w:val="003C3DCE"/>
    <w:rsid w:val="003C4EAD"/>
    <w:rsid w:val="003C54B6"/>
    <w:rsid w:val="003C55BB"/>
    <w:rsid w:val="003C572E"/>
    <w:rsid w:val="003C5920"/>
    <w:rsid w:val="003C5F80"/>
    <w:rsid w:val="003C6136"/>
    <w:rsid w:val="003C624E"/>
    <w:rsid w:val="003C70F5"/>
    <w:rsid w:val="003C714E"/>
    <w:rsid w:val="003D057F"/>
    <w:rsid w:val="003D05AD"/>
    <w:rsid w:val="003D0B15"/>
    <w:rsid w:val="003D0B7A"/>
    <w:rsid w:val="003D120C"/>
    <w:rsid w:val="003D164A"/>
    <w:rsid w:val="003D1B29"/>
    <w:rsid w:val="003D1D3D"/>
    <w:rsid w:val="003D1D95"/>
    <w:rsid w:val="003D1FF4"/>
    <w:rsid w:val="003D2127"/>
    <w:rsid w:val="003D22C3"/>
    <w:rsid w:val="003D266C"/>
    <w:rsid w:val="003D31C8"/>
    <w:rsid w:val="003D36C6"/>
    <w:rsid w:val="003D378F"/>
    <w:rsid w:val="003D3A8E"/>
    <w:rsid w:val="003D4657"/>
    <w:rsid w:val="003D4689"/>
    <w:rsid w:val="003D4B01"/>
    <w:rsid w:val="003D4B69"/>
    <w:rsid w:val="003D4D2F"/>
    <w:rsid w:val="003D4F5F"/>
    <w:rsid w:val="003D543E"/>
    <w:rsid w:val="003D64C0"/>
    <w:rsid w:val="003D7413"/>
    <w:rsid w:val="003D7841"/>
    <w:rsid w:val="003D7C8E"/>
    <w:rsid w:val="003E0127"/>
    <w:rsid w:val="003E0CDB"/>
    <w:rsid w:val="003E1578"/>
    <w:rsid w:val="003E16DE"/>
    <w:rsid w:val="003E170D"/>
    <w:rsid w:val="003E1949"/>
    <w:rsid w:val="003E3540"/>
    <w:rsid w:val="003E3C1E"/>
    <w:rsid w:val="003E3E6B"/>
    <w:rsid w:val="003E4522"/>
    <w:rsid w:val="003E4D4F"/>
    <w:rsid w:val="003E50D4"/>
    <w:rsid w:val="003E552F"/>
    <w:rsid w:val="003E5E6F"/>
    <w:rsid w:val="003E6E5A"/>
    <w:rsid w:val="003E74BA"/>
    <w:rsid w:val="003E766E"/>
    <w:rsid w:val="003E77C3"/>
    <w:rsid w:val="003E7A93"/>
    <w:rsid w:val="003E7AB5"/>
    <w:rsid w:val="003F021C"/>
    <w:rsid w:val="003F0469"/>
    <w:rsid w:val="003F0823"/>
    <w:rsid w:val="003F107B"/>
    <w:rsid w:val="003F1F23"/>
    <w:rsid w:val="003F1F3A"/>
    <w:rsid w:val="003F25EE"/>
    <w:rsid w:val="003F30A6"/>
    <w:rsid w:val="003F33EA"/>
    <w:rsid w:val="003F4423"/>
    <w:rsid w:val="003F451B"/>
    <w:rsid w:val="003F462D"/>
    <w:rsid w:val="003F6047"/>
    <w:rsid w:val="003F6169"/>
    <w:rsid w:val="003F6454"/>
    <w:rsid w:val="003F6ACB"/>
    <w:rsid w:val="003F760D"/>
    <w:rsid w:val="003F7656"/>
    <w:rsid w:val="003F797B"/>
    <w:rsid w:val="00400E74"/>
    <w:rsid w:val="0040101F"/>
    <w:rsid w:val="00401595"/>
    <w:rsid w:val="00401603"/>
    <w:rsid w:val="00402AA9"/>
    <w:rsid w:val="00402AF6"/>
    <w:rsid w:val="00403170"/>
    <w:rsid w:val="004036B1"/>
    <w:rsid w:val="0040388D"/>
    <w:rsid w:val="00404009"/>
    <w:rsid w:val="00404037"/>
    <w:rsid w:val="00404990"/>
    <w:rsid w:val="00404EE2"/>
    <w:rsid w:val="00404FB8"/>
    <w:rsid w:val="00405166"/>
    <w:rsid w:val="004056C5"/>
    <w:rsid w:val="0040576A"/>
    <w:rsid w:val="004063DF"/>
    <w:rsid w:val="00406826"/>
    <w:rsid w:val="00406DF2"/>
    <w:rsid w:val="00407134"/>
    <w:rsid w:val="00407A3B"/>
    <w:rsid w:val="00407F2F"/>
    <w:rsid w:val="0041024E"/>
    <w:rsid w:val="004109EF"/>
    <w:rsid w:val="00411545"/>
    <w:rsid w:val="0041186F"/>
    <w:rsid w:val="00412FBC"/>
    <w:rsid w:val="00413147"/>
    <w:rsid w:val="004135C1"/>
    <w:rsid w:val="004137BC"/>
    <w:rsid w:val="004142B3"/>
    <w:rsid w:val="00414DD7"/>
    <w:rsid w:val="0041509A"/>
    <w:rsid w:val="00415778"/>
    <w:rsid w:val="00415B3A"/>
    <w:rsid w:val="00415EAF"/>
    <w:rsid w:val="0041611B"/>
    <w:rsid w:val="0041638D"/>
    <w:rsid w:val="0041639F"/>
    <w:rsid w:val="00416743"/>
    <w:rsid w:val="004173F8"/>
    <w:rsid w:val="0041756D"/>
    <w:rsid w:val="00417AF7"/>
    <w:rsid w:val="00420205"/>
    <w:rsid w:val="004209B1"/>
    <w:rsid w:val="00421A20"/>
    <w:rsid w:val="00421A46"/>
    <w:rsid w:val="00421AB4"/>
    <w:rsid w:val="0042205A"/>
    <w:rsid w:val="004224C4"/>
    <w:rsid w:val="004226B0"/>
    <w:rsid w:val="00422C1F"/>
    <w:rsid w:val="00422C2A"/>
    <w:rsid w:val="004230AD"/>
    <w:rsid w:val="00423261"/>
    <w:rsid w:val="0042355B"/>
    <w:rsid w:val="00423912"/>
    <w:rsid w:val="00423B29"/>
    <w:rsid w:val="004242F3"/>
    <w:rsid w:val="004244AF"/>
    <w:rsid w:val="00424A7C"/>
    <w:rsid w:val="004257AF"/>
    <w:rsid w:val="00425959"/>
    <w:rsid w:val="00425CEF"/>
    <w:rsid w:val="00427B57"/>
    <w:rsid w:val="00430A24"/>
    <w:rsid w:val="00430B1E"/>
    <w:rsid w:val="00430C86"/>
    <w:rsid w:val="00431166"/>
    <w:rsid w:val="00431AB0"/>
    <w:rsid w:val="00431F54"/>
    <w:rsid w:val="00432AC0"/>
    <w:rsid w:val="00432CB2"/>
    <w:rsid w:val="00432D74"/>
    <w:rsid w:val="004337EB"/>
    <w:rsid w:val="00433B24"/>
    <w:rsid w:val="00433F65"/>
    <w:rsid w:val="004344C6"/>
    <w:rsid w:val="004354E2"/>
    <w:rsid w:val="00435B05"/>
    <w:rsid w:val="00436918"/>
    <w:rsid w:val="004369B1"/>
    <w:rsid w:val="00437BF3"/>
    <w:rsid w:val="00437DF1"/>
    <w:rsid w:val="00437FAA"/>
    <w:rsid w:val="00440B2D"/>
    <w:rsid w:val="00440D4E"/>
    <w:rsid w:val="00441BF0"/>
    <w:rsid w:val="0044243B"/>
    <w:rsid w:val="0044278A"/>
    <w:rsid w:val="00444836"/>
    <w:rsid w:val="00444D53"/>
    <w:rsid w:val="00444E7C"/>
    <w:rsid w:val="00445112"/>
    <w:rsid w:val="00445259"/>
    <w:rsid w:val="00445469"/>
    <w:rsid w:val="00446294"/>
    <w:rsid w:val="00447784"/>
    <w:rsid w:val="00447B46"/>
    <w:rsid w:val="00447F49"/>
    <w:rsid w:val="00450383"/>
    <w:rsid w:val="0045059A"/>
    <w:rsid w:val="00450BC3"/>
    <w:rsid w:val="00450C59"/>
    <w:rsid w:val="00450FFA"/>
    <w:rsid w:val="0045166A"/>
    <w:rsid w:val="004532F4"/>
    <w:rsid w:val="004537B6"/>
    <w:rsid w:val="00453E9B"/>
    <w:rsid w:val="00453EA7"/>
    <w:rsid w:val="0045493B"/>
    <w:rsid w:val="00456B54"/>
    <w:rsid w:val="00457FBA"/>
    <w:rsid w:val="004603C7"/>
    <w:rsid w:val="00460568"/>
    <w:rsid w:val="004609F4"/>
    <w:rsid w:val="00461670"/>
    <w:rsid w:val="004616B1"/>
    <w:rsid w:val="00461BA0"/>
    <w:rsid w:val="00462608"/>
    <w:rsid w:val="00462708"/>
    <w:rsid w:val="00462BB8"/>
    <w:rsid w:val="00462F4F"/>
    <w:rsid w:val="00463415"/>
    <w:rsid w:val="00464137"/>
    <w:rsid w:val="00464D36"/>
    <w:rsid w:val="00465923"/>
    <w:rsid w:val="00465A1D"/>
    <w:rsid w:val="00465A47"/>
    <w:rsid w:val="00465BB9"/>
    <w:rsid w:val="00465E53"/>
    <w:rsid w:val="004666BC"/>
    <w:rsid w:val="00466911"/>
    <w:rsid w:val="004670F8"/>
    <w:rsid w:val="004673E2"/>
    <w:rsid w:val="00467B88"/>
    <w:rsid w:val="00470557"/>
    <w:rsid w:val="00470749"/>
    <w:rsid w:val="00470D6A"/>
    <w:rsid w:val="00470DE6"/>
    <w:rsid w:val="00471062"/>
    <w:rsid w:val="00471202"/>
    <w:rsid w:val="004717F6"/>
    <w:rsid w:val="00472368"/>
    <w:rsid w:val="00472588"/>
    <w:rsid w:val="004728A7"/>
    <w:rsid w:val="00473585"/>
    <w:rsid w:val="00473A88"/>
    <w:rsid w:val="00474947"/>
    <w:rsid w:val="00474AE4"/>
    <w:rsid w:val="0047515C"/>
    <w:rsid w:val="00475161"/>
    <w:rsid w:val="00475483"/>
    <w:rsid w:val="004759F7"/>
    <w:rsid w:val="00475DDE"/>
    <w:rsid w:val="00475E38"/>
    <w:rsid w:val="0047636D"/>
    <w:rsid w:val="00480015"/>
    <w:rsid w:val="004802F5"/>
    <w:rsid w:val="004809F8"/>
    <w:rsid w:val="00480B4B"/>
    <w:rsid w:val="004812C0"/>
    <w:rsid w:val="004820AD"/>
    <w:rsid w:val="0048213F"/>
    <w:rsid w:val="004821F0"/>
    <w:rsid w:val="004822FF"/>
    <w:rsid w:val="00483316"/>
    <w:rsid w:val="004834B9"/>
    <w:rsid w:val="004834C6"/>
    <w:rsid w:val="00483737"/>
    <w:rsid w:val="004839B6"/>
    <w:rsid w:val="00483A1C"/>
    <w:rsid w:val="00483AC8"/>
    <w:rsid w:val="00484C3A"/>
    <w:rsid w:val="00484E85"/>
    <w:rsid w:val="0048526B"/>
    <w:rsid w:val="0048596E"/>
    <w:rsid w:val="004859AE"/>
    <w:rsid w:val="00485C9B"/>
    <w:rsid w:val="00485CC9"/>
    <w:rsid w:val="00485DC4"/>
    <w:rsid w:val="00485DE9"/>
    <w:rsid w:val="00485F09"/>
    <w:rsid w:val="00485F96"/>
    <w:rsid w:val="00486024"/>
    <w:rsid w:val="00486078"/>
    <w:rsid w:val="00486B04"/>
    <w:rsid w:val="00486F8C"/>
    <w:rsid w:val="004871D5"/>
    <w:rsid w:val="0048748B"/>
    <w:rsid w:val="0048780B"/>
    <w:rsid w:val="00487B08"/>
    <w:rsid w:val="004906CF"/>
    <w:rsid w:val="00490BC4"/>
    <w:rsid w:val="004915CE"/>
    <w:rsid w:val="004917BA"/>
    <w:rsid w:val="004919DB"/>
    <w:rsid w:val="004926AF"/>
    <w:rsid w:val="00492832"/>
    <w:rsid w:val="00492B53"/>
    <w:rsid w:val="00492DC6"/>
    <w:rsid w:val="00493B1C"/>
    <w:rsid w:val="00493C21"/>
    <w:rsid w:val="00493C4B"/>
    <w:rsid w:val="00493DA2"/>
    <w:rsid w:val="00493DC0"/>
    <w:rsid w:val="004947EC"/>
    <w:rsid w:val="00494EB5"/>
    <w:rsid w:val="00494F46"/>
    <w:rsid w:val="0049519D"/>
    <w:rsid w:val="00495780"/>
    <w:rsid w:val="00496982"/>
    <w:rsid w:val="00497096"/>
    <w:rsid w:val="00497414"/>
    <w:rsid w:val="00497682"/>
    <w:rsid w:val="00497722"/>
    <w:rsid w:val="004A045E"/>
    <w:rsid w:val="004A06EE"/>
    <w:rsid w:val="004A0A35"/>
    <w:rsid w:val="004A0DE9"/>
    <w:rsid w:val="004A152A"/>
    <w:rsid w:val="004A260F"/>
    <w:rsid w:val="004A2898"/>
    <w:rsid w:val="004A38CB"/>
    <w:rsid w:val="004A3988"/>
    <w:rsid w:val="004A408A"/>
    <w:rsid w:val="004A4358"/>
    <w:rsid w:val="004A4741"/>
    <w:rsid w:val="004A55B6"/>
    <w:rsid w:val="004A580C"/>
    <w:rsid w:val="004A5A59"/>
    <w:rsid w:val="004A61E4"/>
    <w:rsid w:val="004A663D"/>
    <w:rsid w:val="004A6814"/>
    <w:rsid w:val="004A6FF5"/>
    <w:rsid w:val="004A7451"/>
    <w:rsid w:val="004A74E2"/>
    <w:rsid w:val="004A771D"/>
    <w:rsid w:val="004A7E67"/>
    <w:rsid w:val="004B0752"/>
    <w:rsid w:val="004B0AB3"/>
    <w:rsid w:val="004B1B8F"/>
    <w:rsid w:val="004B26E4"/>
    <w:rsid w:val="004B2D24"/>
    <w:rsid w:val="004B3193"/>
    <w:rsid w:val="004B31D7"/>
    <w:rsid w:val="004B4412"/>
    <w:rsid w:val="004B4CCE"/>
    <w:rsid w:val="004B515B"/>
    <w:rsid w:val="004B547C"/>
    <w:rsid w:val="004B5A3A"/>
    <w:rsid w:val="004B65AE"/>
    <w:rsid w:val="004B6F69"/>
    <w:rsid w:val="004B74D2"/>
    <w:rsid w:val="004B76A3"/>
    <w:rsid w:val="004B76C4"/>
    <w:rsid w:val="004B7AA1"/>
    <w:rsid w:val="004B7CB7"/>
    <w:rsid w:val="004C07DC"/>
    <w:rsid w:val="004C090B"/>
    <w:rsid w:val="004C090D"/>
    <w:rsid w:val="004C0A1E"/>
    <w:rsid w:val="004C196A"/>
    <w:rsid w:val="004C1EA2"/>
    <w:rsid w:val="004C23C1"/>
    <w:rsid w:val="004C23DF"/>
    <w:rsid w:val="004C248C"/>
    <w:rsid w:val="004C2595"/>
    <w:rsid w:val="004C2744"/>
    <w:rsid w:val="004C27B4"/>
    <w:rsid w:val="004C3266"/>
    <w:rsid w:val="004C348C"/>
    <w:rsid w:val="004C396F"/>
    <w:rsid w:val="004C39D8"/>
    <w:rsid w:val="004C3EC4"/>
    <w:rsid w:val="004C47DB"/>
    <w:rsid w:val="004C5493"/>
    <w:rsid w:val="004C570F"/>
    <w:rsid w:val="004C5CC4"/>
    <w:rsid w:val="004C79D2"/>
    <w:rsid w:val="004D0CE4"/>
    <w:rsid w:val="004D0D9C"/>
    <w:rsid w:val="004D0E39"/>
    <w:rsid w:val="004D1723"/>
    <w:rsid w:val="004D1733"/>
    <w:rsid w:val="004D251C"/>
    <w:rsid w:val="004D27E4"/>
    <w:rsid w:val="004D393F"/>
    <w:rsid w:val="004D55BA"/>
    <w:rsid w:val="004D5702"/>
    <w:rsid w:val="004D59F7"/>
    <w:rsid w:val="004D609B"/>
    <w:rsid w:val="004D659A"/>
    <w:rsid w:val="004D7A71"/>
    <w:rsid w:val="004D7D56"/>
    <w:rsid w:val="004E0337"/>
    <w:rsid w:val="004E045A"/>
    <w:rsid w:val="004E1B7D"/>
    <w:rsid w:val="004E2149"/>
    <w:rsid w:val="004E28D9"/>
    <w:rsid w:val="004E3F06"/>
    <w:rsid w:val="004E4A62"/>
    <w:rsid w:val="004E4B43"/>
    <w:rsid w:val="004E4C93"/>
    <w:rsid w:val="004E534C"/>
    <w:rsid w:val="004E6203"/>
    <w:rsid w:val="004E731B"/>
    <w:rsid w:val="004E7C07"/>
    <w:rsid w:val="004E7EB3"/>
    <w:rsid w:val="004F00F9"/>
    <w:rsid w:val="004F0CA1"/>
    <w:rsid w:val="004F12A5"/>
    <w:rsid w:val="004F1325"/>
    <w:rsid w:val="004F19E6"/>
    <w:rsid w:val="004F1ADF"/>
    <w:rsid w:val="004F1BBA"/>
    <w:rsid w:val="004F1CB8"/>
    <w:rsid w:val="004F1E0A"/>
    <w:rsid w:val="004F1F42"/>
    <w:rsid w:val="004F2329"/>
    <w:rsid w:val="004F2529"/>
    <w:rsid w:val="004F292E"/>
    <w:rsid w:val="004F2AF6"/>
    <w:rsid w:val="004F38BE"/>
    <w:rsid w:val="004F393F"/>
    <w:rsid w:val="004F3B23"/>
    <w:rsid w:val="004F3F77"/>
    <w:rsid w:val="004F52F7"/>
    <w:rsid w:val="004F5710"/>
    <w:rsid w:val="004F5D98"/>
    <w:rsid w:val="004F6747"/>
    <w:rsid w:val="004F6C11"/>
    <w:rsid w:val="004F78F0"/>
    <w:rsid w:val="00500081"/>
    <w:rsid w:val="00500382"/>
    <w:rsid w:val="00500C48"/>
    <w:rsid w:val="00500EAB"/>
    <w:rsid w:val="005011D8"/>
    <w:rsid w:val="00501A44"/>
    <w:rsid w:val="00502E2A"/>
    <w:rsid w:val="005038DB"/>
    <w:rsid w:val="00503CC6"/>
    <w:rsid w:val="00504207"/>
    <w:rsid w:val="0050427F"/>
    <w:rsid w:val="005047F9"/>
    <w:rsid w:val="00504BD4"/>
    <w:rsid w:val="00504D28"/>
    <w:rsid w:val="005051A2"/>
    <w:rsid w:val="00505C61"/>
    <w:rsid w:val="00505FE1"/>
    <w:rsid w:val="005067C1"/>
    <w:rsid w:val="00506AEF"/>
    <w:rsid w:val="005075D8"/>
    <w:rsid w:val="00507F7C"/>
    <w:rsid w:val="0051149E"/>
    <w:rsid w:val="00511907"/>
    <w:rsid w:val="0051204A"/>
    <w:rsid w:val="00512702"/>
    <w:rsid w:val="005128B9"/>
    <w:rsid w:val="00512BD9"/>
    <w:rsid w:val="00512CBD"/>
    <w:rsid w:val="00513D6B"/>
    <w:rsid w:val="00513FBE"/>
    <w:rsid w:val="005142F5"/>
    <w:rsid w:val="00514717"/>
    <w:rsid w:val="005147FA"/>
    <w:rsid w:val="0051481A"/>
    <w:rsid w:val="0051513F"/>
    <w:rsid w:val="00515ADE"/>
    <w:rsid w:val="00515C58"/>
    <w:rsid w:val="00515DC1"/>
    <w:rsid w:val="00516470"/>
    <w:rsid w:val="005167B5"/>
    <w:rsid w:val="00516BD1"/>
    <w:rsid w:val="00517B86"/>
    <w:rsid w:val="00517FAB"/>
    <w:rsid w:val="00520774"/>
    <w:rsid w:val="0052081A"/>
    <w:rsid w:val="00521B68"/>
    <w:rsid w:val="00521B82"/>
    <w:rsid w:val="0052213C"/>
    <w:rsid w:val="005222AD"/>
    <w:rsid w:val="00522B29"/>
    <w:rsid w:val="00522C4C"/>
    <w:rsid w:val="005235F6"/>
    <w:rsid w:val="0052379B"/>
    <w:rsid w:val="00523A6E"/>
    <w:rsid w:val="00524C99"/>
    <w:rsid w:val="00525A9F"/>
    <w:rsid w:val="00526BBA"/>
    <w:rsid w:val="005273FB"/>
    <w:rsid w:val="005278FE"/>
    <w:rsid w:val="0052793A"/>
    <w:rsid w:val="00530128"/>
    <w:rsid w:val="0053087A"/>
    <w:rsid w:val="00530E7B"/>
    <w:rsid w:val="0053184E"/>
    <w:rsid w:val="00532467"/>
    <w:rsid w:val="00532D27"/>
    <w:rsid w:val="00533242"/>
    <w:rsid w:val="00533258"/>
    <w:rsid w:val="00533A28"/>
    <w:rsid w:val="00533FE1"/>
    <w:rsid w:val="0053427A"/>
    <w:rsid w:val="005350B6"/>
    <w:rsid w:val="0053537F"/>
    <w:rsid w:val="00535521"/>
    <w:rsid w:val="005358A5"/>
    <w:rsid w:val="005359E5"/>
    <w:rsid w:val="00536464"/>
    <w:rsid w:val="005364C7"/>
    <w:rsid w:val="00537912"/>
    <w:rsid w:val="00540459"/>
    <w:rsid w:val="0054072E"/>
    <w:rsid w:val="005409B9"/>
    <w:rsid w:val="00541385"/>
    <w:rsid w:val="00541874"/>
    <w:rsid w:val="005423C1"/>
    <w:rsid w:val="0054266B"/>
    <w:rsid w:val="00542A19"/>
    <w:rsid w:val="00542B49"/>
    <w:rsid w:val="00542B81"/>
    <w:rsid w:val="005433FD"/>
    <w:rsid w:val="005437EB"/>
    <w:rsid w:val="00544200"/>
    <w:rsid w:val="005442F5"/>
    <w:rsid w:val="005448C7"/>
    <w:rsid w:val="00544A76"/>
    <w:rsid w:val="005453FC"/>
    <w:rsid w:val="00545552"/>
    <w:rsid w:val="005456B7"/>
    <w:rsid w:val="00545AEB"/>
    <w:rsid w:val="0054635B"/>
    <w:rsid w:val="005465AC"/>
    <w:rsid w:val="00546B6A"/>
    <w:rsid w:val="00546CDA"/>
    <w:rsid w:val="005473E7"/>
    <w:rsid w:val="0054745E"/>
    <w:rsid w:val="00547659"/>
    <w:rsid w:val="00547BA2"/>
    <w:rsid w:val="00547BB3"/>
    <w:rsid w:val="00547CCF"/>
    <w:rsid w:val="00550318"/>
    <w:rsid w:val="00550C0B"/>
    <w:rsid w:val="00550CB9"/>
    <w:rsid w:val="005514B1"/>
    <w:rsid w:val="00552312"/>
    <w:rsid w:val="00552E9A"/>
    <w:rsid w:val="00552E9F"/>
    <w:rsid w:val="005537B1"/>
    <w:rsid w:val="00555266"/>
    <w:rsid w:val="005553DA"/>
    <w:rsid w:val="005554A9"/>
    <w:rsid w:val="00555624"/>
    <w:rsid w:val="0055562E"/>
    <w:rsid w:val="00555A5C"/>
    <w:rsid w:val="005567C9"/>
    <w:rsid w:val="0055751D"/>
    <w:rsid w:val="00560310"/>
    <w:rsid w:val="0056078C"/>
    <w:rsid w:val="0056099A"/>
    <w:rsid w:val="00561675"/>
    <w:rsid w:val="005620FC"/>
    <w:rsid w:val="00562718"/>
    <w:rsid w:val="00562AB7"/>
    <w:rsid w:val="00562B90"/>
    <w:rsid w:val="005631C3"/>
    <w:rsid w:val="005634D3"/>
    <w:rsid w:val="00563D85"/>
    <w:rsid w:val="00563F8E"/>
    <w:rsid w:val="00564357"/>
    <w:rsid w:val="00564501"/>
    <w:rsid w:val="0056451A"/>
    <w:rsid w:val="00564A4D"/>
    <w:rsid w:val="00565020"/>
    <w:rsid w:val="0056522E"/>
    <w:rsid w:val="00565576"/>
    <w:rsid w:val="00565B4A"/>
    <w:rsid w:val="00566855"/>
    <w:rsid w:val="00566B27"/>
    <w:rsid w:val="005674E4"/>
    <w:rsid w:val="00567A30"/>
    <w:rsid w:val="00567BB6"/>
    <w:rsid w:val="00570222"/>
    <w:rsid w:val="005707DE"/>
    <w:rsid w:val="00570A23"/>
    <w:rsid w:val="00570B7D"/>
    <w:rsid w:val="00571333"/>
    <w:rsid w:val="00571B35"/>
    <w:rsid w:val="00571C9F"/>
    <w:rsid w:val="0057204F"/>
    <w:rsid w:val="005724F7"/>
    <w:rsid w:val="0057263B"/>
    <w:rsid w:val="00572ADF"/>
    <w:rsid w:val="00573C23"/>
    <w:rsid w:val="005744FE"/>
    <w:rsid w:val="0057452A"/>
    <w:rsid w:val="005747AF"/>
    <w:rsid w:val="005748A7"/>
    <w:rsid w:val="00574A26"/>
    <w:rsid w:val="0057576F"/>
    <w:rsid w:val="005758EA"/>
    <w:rsid w:val="00575A4D"/>
    <w:rsid w:val="00575A52"/>
    <w:rsid w:val="00575C7E"/>
    <w:rsid w:val="005765B1"/>
    <w:rsid w:val="0057743E"/>
    <w:rsid w:val="005778B4"/>
    <w:rsid w:val="00577A09"/>
    <w:rsid w:val="00577C37"/>
    <w:rsid w:val="00577F4F"/>
    <w:rsid w:val="005807A5"/>
    <w:rsid w:val="005809B6"/>
    <w:rsid w:val="00580B78"/>
    <w:rsid w:val="00580C4B"/>
    <w:rsid w:val="005813C3"/>
    <w:rsid w:val="005815BD"/>
    <w:rsid w:val="00581B81"/>
    <w:rsid w:val="00581D00"/>
    <w:rsid w:val="00581D50"/>
    <w:rsid w:val="00583118"/>
    <w:rsid w:val="005839D6"/>
    <w:rsid w:val="00583FDB"/>
    <w:rsid w:val="00584559"/>
    <w:rsid w:val="00584D8F"/>
    <w:rsid w:val="005857D9"/>
    <w:rsid w:val="00585980"/>
    <w:rsid w:val="00585B39"/>
    <w:rsid w:val="00585D02"/>
    <w:rsid w:val="00585F3F"/>
    <w:rsid w:val="005869D8"/>
    <w:rsid w:val="005870C8"/>
    <w:rsid w:val="0058793A"/>
    <w:rsid w:val="0059010D"/>
    <w:rsid w:val="0059013E"/>
    <w:rsid w:val="005905C6"/>
    <w:rsid w:val="00590C0E"/>
    <w:rsid w:val="00591067"/>
    <w:rsid w:val="00591356"/>
    <w:rsid w:val="00591AED"/>
    <w:rsid w:val="00591BE1"/>
    <w:rsid w:val="00592AFF"/>
    <w:rsid w:val="00592DF5"/>
    <w:rsid w:val="005931C4"/>
    <w:rsid w:val="0059322C"/>
    <w:rsid w:val="005934A1"/>
    <w:rsid w:val="005938AC"/>
    <w:rsid w:val="005939A4"/>
    <w:rsid w:val="00593D47"/>
    <w:rsid w:val="00593D5A"/>
    <w:rsid w:val="005940A3"/>
    <w:rsid w:val="005950B7"/>
    <w:rsid w:val="00595459"/>
    <w:rsid w:val="00595533"/>
    <w:rsid w:val="005959BA"/>
    <w:rsid w:val="00595A11"/>
    <w:rsid w:val="0059626A"/>
    <w:rsid w:val="00596ABC"/>
    <w:rsid w:val="00596D42"/>
    <w:rsid w:val="005970C3"/>
    <w:rsid w:val="0059787C"/>
    <w:rsid w:val="00597CDF"/>
    <w:rsid w:val="00597EA3"/>
    <w:rsid w:val="00597F36"/>
    <w:rsid w:val="005A0358"/>
    <w:rsid w:val="005A11AA"/>
    <w:rsid w:val="005A1FEA"/>
    <w:rsid w:val="005A216D"/>
    <w:rsid w:val="005A2B8B"/>
    <w:rsid w:val="005A2C68"/>
    <w:rsid w:val="005A355B"/>
    <w:rsid w:val="005A388C"/>
    <w:rsid w:val="005A404D"/>
    <w:rsid w:val="005A468C"/>
    <w:rsid w:val="005A5752"/>
    <w:rsid w:val="005A59C2"/>
    <w:rsid w:val="005A6596"/>
    <w:rsid w:val="005A6BCF"/>
    <w:rsid w:val="005A6E95"/>
    <w:rsid w:val="005A7408"/>
    <w:rsid w:val="005A780B"/>
    <w:rsid w:val="005B02DD"/>
    <w:rsid w:val="005B1054"/>
    <w:rsid w:val="005B1E3C"/>
    <w:rsid w:val="005B27D0"/>
    <w:rsid w:val="005B3ECB"/>
    <w:rsid w:val="005B411F"/>
    <w:rsid w:val="005B452D"/>
    <w:rsid w:val="005B4A2E"/>
    <w:rsid w:val="005B4B76"/>
    <w:rsid w:val="005B52CA"/>
    <w:rsid w:val="005B552E"/>
    <w:rsid w:val="005B57E9"/>
    <w:rsid w:val="005B60C0"/>
    <w:rsid w:val="005B6543"/>
    <w:rsid w:val="005B7F95"/>
    <w:rsid w:val="005C02D6"/>
    <w:rsid w:val="005C04CF"/>
    <w:rsid w:val="005C0754"/>
    <w:rsid w:val="005C115F"/>
    <w:rsid w:val="005C1880"/>
    <w:rsid w:val="005C1BDC"/>
    <w:rsid w:val="005C1C51"/>
    <w:rsid w:val="005C1D42"/>
    <w:rsid w:val="005C24AC"/>
    <w:rsid w:val="005C26CC"/>
    <w:rsid w:val="005C2D94"/>
    <w:rsid w:val="005C30FF"/>
    <w:rsid w:val="005C3234"/>
    <w:rsid w:val="005C3741"/>
    <w:rsid w:val="005C4DAE"/>
    <w:rsid w:val="005C5309"/>
    <w:rsid w:val="005C587A"/>
    <w:rsid w:val="005C5C06"/>
    <w:rsid w:val="005C66F4"/>
    <w:rsid w:val="005C697B"/>
    <w:rsid w:val="005C6A25"/>
    <w:rsid w:val="005C6D17"/>
    <w:rsid w:val="005C737D"/>
    <w:rsid w:val="005D0113"/>
    <w:rsid w:val="005D0487"/>
    <w:rsid w:val="005D04F8"/>
    <w:rsid w:val="005D09C5"/>
    <w:rsid w:val="005D1357"/>
    <w:rsid w:val="005D17D4"/>
    <w:rsid w:val="005D1A62"/>
    <w:rsid w:val="005D1BD1"/>
    <w:rsid w:val="005D2033"/>
    <w:rsid w:val="005D21AA"/>
    <w:rsid w:val="005D22D6"/>
    <w:rsid w:val="005D23AC"/>
    <w:rsid w:val="005D28B8"/>
    <w:rsid w:val="005D4886"/>
    <w:rsid w:val="005D4E00"/>
    <w:rsid w:val="005D5124"/>
    <w:rsid w:val="005D59F7"/>
    <w:rsid w:val="005D5B97"/>
    <w:rsid w:val="005D5BF3"/>
    <w:rsid w:val="005D6AF0"/>
    <w:rsid w:val="005D6D0B"/>
    <w:rsid w:val="005D7999"/>
    <w:rsid w:val="005D7C06"/>
    <w:rsid w:val="005D7C2B"/>
    <w:rsid w:val="005E0644"/>
    <w:rsid w:val="005E0A6E"/>
    <w:rsid w:val="005E0C73"/>
    <w:rsid w:val="005E1027"/>
    <w:rsid w:val="005E1201"/>
    <w:rsid w:val="005E1D58"/>
    <w:rsid w:val="005E1FF5"/>
    <w:rsid w:val="005E20C3"/>
    <w:rsid w:val="005E2215"/>
    <w:rsid w:val="005E25CF"/>
    <w:rsid w:val="005E2D23"/>
    <w:rsid w:val="005E3956"/>
    <w:rsid w:val="005E4106"/>
    <w:rsid w:val="005E514F"/>
    <w:rsid w:val="005E5569"/>
    <w:rsid w:val="005E632F"/>
    <w:rsid w:val="005E6909"/>
    <w:rsid w:val="005E6986"/>
    <w:rsid w:val="005E6A4E"/>
    <w:rsid w:val="005E6B14"/>
    <w:rsid w:val="005E6C0E"/>
    <w:rsid w:val="005E6D39"/>
    <w:rsid w:val="005E701C"/>
    <w:rsid w:val="005E7531"/>
    <w:rsid w:val="005F0058"/>
    <w:rsid w:val="005F06C8"/>
    <w:rsid w:val="005F0D48"/>
    <w:rsid w:val="005F1282"/>
    <w:rsid w:val="005F14FB"/>
    <w:rsid w:val="005F1C1A"/>
    <w:rsid w:val="005F1FDE"/>
    <w:rsid w:val="005F2099"/>
    <w:rsid w:val="005F3263"/>
    <w:rsid w:val="005F3C97"/>
    <w:rsid w:val="005F435F"/>
    <w:rsid w:val="005F4865"/>
    <w:rsid w:val="005F49EC"/>
    <w:rsid w:val="005F61F5"/>
    <w:rsid w:val="005F6630"/>
    <w:rsid w:val="005F69FF"/>
    <w:rsid w:val="005F6ACA"/>
    <w:rsid w:val="005F6FC8"/>
    <w:rsid w:val="005F7DA3"/>
    <w:rsid w:val="0060001F"/>
    <w:rsid w:val="006000FA"/>
    <w:rsid w:val="006005CE"/>
    <w:rsid w:val="0060104F"/>
    <w:rsid w:val="006020AB"/>
    <w:rsid w:val="00602630"/>
    <w:rsid w:val="006026D4"/>
    <w:rsid w:val="00602D53"/>
    <w:rsid w:val="00602DB7"/>
    <w:rsid w:val="00603669"/>
    <w:rsid w:val="00603785"/>
    <w:rsid w:val="00603E21"/>
    <w:rsid w:val="00604993"/>
    <w:rsid w:val="0060505F"/>
    <w:rsid w:val="00605162"/>
    <w:rsid w:val="00605637"/>
    <w:rsid w:val="00606632"/>
    <w:rsid w:val="006071A4"/>
    <w:rsid w:val="00607251"/>
    <w:rsid w:val="00607254"/>
    <w:rsid w:val="00607688"/>
    <w:rsid w:val="00607869"/>
    <w:rsid w:val="006102E9"/>
    <w:rsid w:val="006103C9"/>
    <w:rsid w:val="00610F12"/>
    <w:rsid w:val="006113F2"/>
    <w:rsid w:val="006114CC"/>
    <w:rsid w:val="00611A67"/>
    <w:rsid w:val="00612322"/>
    <w:rsid w:val="00613BF1"/>
    <w:rsid w:val="00613F31"/>
    <w:rsid w:val="0061401F"/>
    <w:rsid w:val="00615C6B"/>
    <w:rsid w:val="0061654E"/>
    <w:rsid w:val="00616E07"/>
    <w:rsid w:val="00617054"/>
    <w:rsid w:val="0061763E"/>
    <w:rsid w:val="006178AF"/>
    <w:rsid w:val="006200C2"/>
    <w:rsid w:val="0062062A"/>
    <w:rsid w:val="006206E7"/>
    <w:rsid w:val="006209CB"/>
    <w:rsid w:val="00620DF0"/>
    <w:rsid w:val="0062111D"/>
    <w:rsid w:val="0062204E"/>
    <w:rsid w:val="00622A07"/>
    <w:rsid w:val="0062347B"/>
    <w:rsid w:val="006234AA"/>
    <w:rsid w:val="00623F1C"/>
    <w:rsid w:val="006240E1"/>
    <w:rsid w:val="006253FB"/>
    <w:rsid w:val="00625B89"/>
    <w:rsid w:val="00626E97"/>
    <w:rsid w:val="006274F9"/>
    <w:rsid w:val="00627EC4"/>
    <w:rsid w:val="00630C63"/>
    <w:rsid w:val="00631BC6"/>
    <w:rsid w:val="0063203E"/>
    <w:rsid w:val="0063212A"/>
    <w:rsid w:val="006326A9"/>
    <w:rsid w:val="006327E8"/>
    <w:rsid w:val="006327F8"/>
    <w:rsid w:val="00632CA1"/>
    <w:rsid w:val="00632D6D"/>
    <w:rsid w:val="00632DE9"/>
    <w:rsid w:val="00633069"/>
    <w:rsid w:val="006330CA"/>
    <w:rsid w:val="006332E2"/>
    <w:rsid w:val="00633488"/>
    <w:rsid w:val="00633B0A"/>
    <w:rsid w:val="00633FA1"/>
    <w:rsid w:val="00635507"/>
    <w:rsid w:val="00635593"/>
    <w:rsid w:val="006356AE"/>
    <w:rsid w:val="006359C3"/>
    <w:rsid w:val="00635A71"/>
    <w:rsid w:val="00637081"/>
    <w:rsid w:val="006372C5"/>
    <w:rsid w:val="006373CB"/>
    <w:rsid w:val="006375D3"/>
    <w:rsid w:val="00637C89"/>
    <w:rsid w:val="00640025"/>
    <w:rsid w:val="00640E23"/>
    <w:rsid w:val="00642689"/>
    <w:rsid w:val="00642C3E"/>
    <w:rsid w:val="0064327E"/>
    <w:rsid w:val="0064329D"/>
    <w:rsid w:val="006435E6"/>
    <w:rsid w:val="006438A5"/>
    <w:rsid w:val="00644028"/>
    <w:rsid w:val="00644130"/>
    <w:rsid w:val="006441EE"/>
    <w:rsid w:val="00645F84"/>
    <w:rsid w:val="00646025"/>
    <w:rsid w:val="00646432"/>
    <w:rsid w:val="00646433"/>
    <w:rsid w:val="00646791"/>
    <w:rsid w:val="00646799"/>
    <w:rsid w:val="0065012C"/>
    <w:rsid w:val="0065012E"/>
    <w:rsid w:val="0065075B"/>
    <w:rsid w:val="00650843"/>
    <w:rsid w:val="00650CE2"/>
    <w:rsid w:val="0065110C"/>
    <w:rsid w:val="006517E9"/>
    <w:rsid w:val="00652C31"/>
    <w:rsid w:val="00653083"/>
    <w:rsid w:val="00653D3B"/>
    <w:rsid w:val="006542CE"/>
    <w:rsid w:val="0065433A"/>
    <w:rsid w:val="0065462D"/>
    <w:rsid w:val="00655419"/>
    <w:rsid w:val="00655766"/>
    <w:rsid w:val="00656872"/>
    <w:rsid w:val="0065750B"/>
    <w:rsid w:val="00657713"/>
    <w:rsid w:val="00657A19"/>
    <w:rsid w:val="00660541"/>
    <w:rsid w:val="0066058C"/>
    <w:rsid w:val="00660973"/>
    <w:rsid w:val="00660A50"/>
    <w:rsid w:val="00660F9B"/>
    <w:rsid w:val="006612A0"/>
    <w:rsid w:val="00661355"/>
    <w:rsid w:val="0066141B"/>
    <w:rsid w:val="00661822"/>
    <w:rsid w:val="00661987"/>
    <w:rsid w:val="0066259E"/>
    <w:rsid w:val="00663777"/>
    <w:rsid w:val="00663DAD"/>
    <w:rsid w:val="006642BC"/>
    <w:rsid w:val="00665644"/>
    <w:rsid w:val="00665EFE"/>
    <w:rsid w:val="00665F15"/>
    <w:rsid w:val="00666116"/>
    <w:rsid w:val="00666ABF"/>
    <w:rsid w:val="00666C24"/>
    <w:rsid w:val="00667AF2"/>
    <w:rsid w:val="00670196"/>
    <w:rsid w:val="00670664"/>
    <w:rsid w:val="00670E59"/>
    <w:rsid w:val="00672EA7"/>
    <w:rsid w:val="00672FC3"/>
    <w:rsid w:val="00673291"/>
    <w:rsid w:val="00673699"/>
    <w:rsid w:val="006746DF"/>
    <w:rsid w:val="0067476E"/>
    <w:rsid w:val="00676679"/>
    <w:rsid w:val="006766E8"/>
    <w:rsid w:val="00676CB0"/>
    <w:rsid w:val="00677659"/>
    <w:rsid w:val="00677699"/>
    <w:rsid w:val="00677ED9"/>
    <w:rsid w:val="0068038C"/>
    <w:rsid w:val="0068190C"/>
    <w:rsid w:val="00681E6E"/>
    <w:rsid w:val="00682739"/>
    <w:rsid w:val="0068278A"/>
    <w:rsid w:val="00682E1B"/>
    <w:rsid w:val="00683028"/>
    <w:rsid w:val="0068319A"/>
    <w:rsid w:val="00683659"/>
    <w:rsid w:val="0068419E"/>
    <w:rsid w:val="0068432E"/>
    <w:rsid w:val="00684800"/>
    <w:rsid w:val="00685028"/>
    <w:rsid w:val="00685087"/>
    <w:rsid w:val="006850BE"/>
    <w:rsid w:val="00685824"/>
    <w:rsid w:val="00686078"/>
    <w:rsid w:val="006869BE"/>
    <w:rsid w:val="006869FC"/>
    <w:rsid w:val="00686EC7"/>
    <w:rsid w:val="00687047"/>
    <w:rsid w:val="006875FD"/>
    <w:rsid w:val="0069040F"/>
    <w:rsid w:val="00691616"/>
    <w:rsid w:val="006917EC"/>
    <w:rsid w:val="00691939"/>
    <w:rsid w:val="00691E2E"/>
    <w:rsid w:val="00693217"/>
    <w:rsid w:val="0069323D"/>
    <w:rsid w:val="00693334"/>
    <w:rsid w:val="006934E2"/>
    <w:rsid w:val="00693ACC"/>
    <w:rsid w:val="00694013"/>
    <w:rsid w:val="0069465F"/>
    <w:rsid w:val="006948DF"/>
    <w:rsid w:val="0069514A"/>
    <w:rsid w:val="00695356"/>
    <w:rsid w:val="00695729"/>
    <w:rsid w:val="00695DB1"/>
    <w:rsid w:val="006964CF"/>
    <w:rsid w:val="0069682F"/>
    <w:rsid w:val="006970A1"/>
    <w:rsid w:val="00697456"/>
    <w:rsid w:val="006974B2"/>
    <w:rsid w:val="0069759C"/>
    <w:rsid w:val="00697956"/>
    <w:rsid w:val="006A0AF7"/>
    <w:rsid w:val="006A1561"/>
    <w:rsid w:val="006A2722"/>
    <w:rsid w:val="006A2813"/>
    <w:rsid w:val="006A2B0A"/>
    <w:rsid w:val="006A3054"/>
    <w:rsid w:val="006A31C1"/>
    <w:rsid w:val="006A3380"/>
    <w:rsid w:val="006A36B0"/>
    <w:rsid w:val="006A36B5"/>
    <w:rsid w:val="006A3E42"/>
    <w:rsid w:val="006A4593"/>
    <w:rsid w:val="006A45C5"/>
    <w:rsid w:val="006A4B13"/>
    <w:rsid w:val="006A5414"/>
    <w:rsid w:val="006A692A"/>
    <w:rsid w:val="006A6DDB"/>
    <w:rsid w:val="006A722C"/>
    <w:rsid w:val="006A7292"/>
    <w:rsid w:val="006A74D1"/>
    <w:rsid w:val="006A765D"/>
    <w:rsid w:val="006A766F"/>
    <w:rsid w:val="006A7E44"/>
    <w:rsid w:val="006B1010"/>
    <w:rsid w:val="006B1586"/>
    <w:rsid w:val="006B1809"/>
    <w:rsid w:val="006B1E77"/>
    <w:rsid w:val="006B26A7"/>
    <w:rsid w:val="006B278F"/>
    <w:rsid w:val="006B28C2"/>
    <w:rsid w:val="006B3627"/>
    <w:rsid w:val="006B45E7"/>
    <w:rsid w:val="006B4C1F"/>
    <w:rsid w:val="006B4CF5"/>
    <w:rsid w:val="006B4CF9"/>
    <w:rsid w:val="006B4D5B"/>
    <w:rsid w:val="006B57D7"/>
    <w:rsid w:val="006B619F"/>
    <w:rsid w:val="006B626C"/>
    <w:rsid w:val="006B70A5"/>
    <w:rsid w:val="006B78C7"/>
    <w:rsid w:val="006B7AC8"/>
    <w:rsid w:val="006B7C8F"/>
    <w:rsid w:val="006B7C99"/>
    <w:rsid w:val="006B7D72"/>
    <w:rsid w:val="006B7F30"/>
    <w:rsid w:val="006C0FDC"/>
    <w:rsid w:val="006C17FD"/>
    <w:rsid w:val="006C2849"/>
    <w:rsid w:val="006C2AA0"/>
    <w:rsid w:val="006C2C25"/>
    <w:rsid w:val="006C2EA2"/>
    <w:rsid w:val="006C2F98"/>
    <w:rsid w:val="006C307E"/>
    <w:rsid w:val="006C30DB"/>
    <w:rsid w:val="006C38FF"/>
    <w:rsid w:val="006C4099"/>
    <w:rsid w:val="006C4C84"/>
    <w:rsid w:val="006C5238"/>
    <w:rsid w:val="006C66DA"/>
    <w:rsid w:val="006C6803"/>
    <w:rsid w:val="006C6A5C"/>
    <w:rsid w:val="006C704C"/>
    <w:rsid w:val="006C70E8"/>
    <w:rsid w:val="006D114D"/>
    <w:rsid w:val="006D2E6B"/>
    <w:rsid w:val="006D35D2"/>
    <w:rsid w:val="006D3B14"/>
    <w:rsid w:val="006D3B4F"/>
    <w:rsid w:val="006D44EB"/>
    <w:rsid w:val="006D453E"/>
    <w:rsid w:val="006D4E64"/>
    <w:rsid w:val="006D5197"/>
    <w:rsid w:val="006D550F"/>
    <w:rsid w:val="006D56E2"/>
    <w:rsid w:val="006D72B0"/>
    <w:rsid w:val="006D77F3"/>
    <w:rsid w:val="006D7CF0"/>
    <w:rsid w:val="006D7F62"/>
    <w:rsid w:val="006E0466"/>
    <w:rsid w:val="006E04A3"/>
    <w:rsid w:val="006E0617"/>
    <w:rsid w:val="006E0A67"/>
    <w:rsid w:val="006E0FBD"/>
    <w:rsid w:val="006E1025"/>
    <w:rsid w:val="006E1104"/>
    <w:rsid w:val="006E18BD"/>
    <w:rsid w:val="006E1F50"/>
    <w:rsid w:val="006E25DC"/>
    <w:rsid w:val="006E281B"/>
    <w:rsid w:val="006E292D"/>
    <w:rsid w:val="006E453C"/>
    <w:rsid w:val="006E4D13"/>
    <w:rsid w:val="006E4DDC"/>
    <w:rsid w:val="006E5419"/>
    <w:rsid w:val="006E580E"/>
    <w:rsid w:val="006E58D7"/>
    <w:rsid w:val="006E5968"/>
    <w:rsid w:val="006E6CC6"/>
    <w:rsid w:val="006E7779"/>
    <w:rsid w:val="006E7CBE"/>
    <w:rsid w:val="006E7CE8"/>
    <w:rsid w:val="006F00CD"/>
    <w:rsid w:val="006F03A4"/>
    <w:rsid w:val="006F0EFD"/>
    <w:rsid w:val="006F24ED"/>
    <w:rsid w:val="006F2528"/>
    <w:rsid w:val="006F3068"/>
    <w:rsid w:val="006F3755"/>
    <w:rsid w:val="006F3ACF"/>
    <w:rsid w:val="006F4780"/>
    <w:rsid w:val="006F4FF1"/>
    <w:rsid w:val="006F7148"/>
    <w:rsid w:val="006F7A38"/>
    <w:rsid w:val="006F7D74"/>
    <w:rsid w:val="0070142C"/>
    <w:rsid w:val="00701741"/>
    <w:rsid w:val="0070192C"/>
    <w:rsid w:val="00701CAB"/>
    <w:rsid w:val="00701CF0"/>
    <w:rsid w:val="0070267A"/>
    <w:rsid w:val="00702798"/>
    <w:rsid w:val="00703473"/>
    <w:rsid w:val="00704723"/>
    <w:rsid w:val="007049D4"/>
    <w:rsid w:val="00704A53"/>
    <w:rsid w:val="0070538F"/>
    <w:rsid w:val="00705572"/>
    <w:rsid w:val="0070589A"/>
    <w:rsid w:val="00705D60"/>
    <w:rsid w:val="0070670A"/>
    <w:rsid w:val="00706C91"/>
    <w:rsid w:val="00706CD4"/>
    <w:rsid w:val="00706D59"/>
    <w:rsid w:val="007071D3"/>
    <w:rsid w:val="00707563"/>
    <w:rsid w:val="00707676"/>
    <w:rsid w:val="00707827"/>
    <w:rsid w:val="007100D7"/>
    <w:rsid w:val="00710638"/>
    <w:rsid w:val="00710A3A"/>
    <w:rsid w:val="00711486"/>
    <w:rsid w:val="007132BB"/>
    <w:rsid w:val="00713BC5"/>
    <w:rsid w:val="0071442A"/>
    <w:rsid w:val="00714975"/>
    <w:rsid w:val="007165CF"/>
    <w:rsid w:val="0071665F"/>
    <w:rsid w:val="00716B06"/>
    <w:rsid w:val="00716B14"/>
    <w:rsid w:val="00717EC0"/>
    <w:rsid w:val="0072061B"/>
    <w:rsid w:val="0072127D"/>
    <w:rsid w:val="00721E58"/>
    <w:rsid w:val="007228B3"/>
    <w:rsid w:val="00722A1D"/>
    <w:rsid w:val="007232F7"/>
    <w:rsid w:val="0072348C"/>
    <w:rsid w:val="007237AA"/>
    <w:rsid w:val="007238B6"/>
    <w:rsid w:val="00723921"/>
    <w:rsid w:val="00723ADF"/>
    <w:rsid w:val="00724248"/>
    <w:rsid w:val="00724255"/>
    <w:rsid w:val="007245F5"/>
    <w:rsid w:val="0072486D"/>
    <w:rsid w:val="00724872"/>
    <w:rsid w:val="00724A37"/>
    <w:rsid w:val="00724A66"/>
    <w:rsid w:val="00724D0D"/>
    <w:rsid w:val="00725133"/>
    <w:rsid w:val="007251A7"/>
    <w:rsid w:val="007258E2"/>
    <w:rsid w:val="00725FA5"/>
    <w:rsid w:val="00726AB1"/>
    <w:rsid w:val="00726FCD"/>
    <w:rsid w:val="00727076"/>
    <w:rsid w:val="00727917"/>
    <w:rsid w:val="00727A1F"/>
    <w:rsid w:val="00727C20"/>
    <w:rsid w:val="00730070"/>
    <w:rsid w:val="007303C3"/>
    <w:rsid w:val="00730672"/>
    <w:rsid w:val="00730A56"/>
    <w:rsid w:val="00730B40"/>
    <w:rsid w:val="0073112C"/>
    <w:rsid w:val="00731853"/>
    <w:rsid w:val="00731982"/>
    <w:rsid w:val="00731A4C"/>
    <w:rsid w:val="00731A7D"/>
    <w:rsid w:val="00731B25"/>
    <w:rsid w:val="00731BF0"/>
    <w:rsid w:val="007322A2"/>
    <w:rsid w:val="007323B0"/>
    <w:rsid w:val="0073254B"/>
    <w:rsid w:val="00733FFC"/>
    <w:rsid w:val="00733FFD"/>
    <w:rsid w:val="007340D2"/>
    <w:rsid w:val="0073437F"/>
    <w:rsid w:val="00734506"/>
    <w:rsid w:val="00735EC9"/>
    <w:rsid w:val="0073601E"/>
    <w:rsid w:val="00737468"/>
    <w:rsid w:val="0073765A"/>
    <w:rsid w:val="0073788F"/>
    <w:rsid w:val="00740C9A"/>
    <w:rsid w:val="00740F3D"/>
    <w:rsid w:val="00740FEA"/>
    <w:rsid w:val="0074100C"/>
    <w:rsid w:val="00741085"/>
    <w:rsid w:val="00741822"/>
    <w:rsid w:val="00741850"/>
    <w:rsid w:val="00741F55"/>
    <w:rsid w:val="007425CB"/>
    <w:rsid w:val="00742990"/>
    <w:rsid w:val="00742D75"/>
    <w:rsid w:val="00743223"/>
    <w:rsid w:val="00744456"/>
    <w:rsid w:val="007449CD"/>
    <w:rsid w:val="00745BC7"/>
    <w:rsid w:val="0074607A"/>
    <w:rsid w:val="00746389"/>
    <w:rsid w:val="00746510"/>
    <w:rsid w:val="007465A5"/>
    <w:rsid w:val="00746719"/>
    <w:rsid w:val="007467CB"/>
    <w:rsid w:val="00746C8C"/>
    <w:rsid w:val="00746E01"/>
    <w:rsid w:val="007474B7"/>
    <w:rsid w:val="0074766F"/>
    <w:rsid w:val="007478A2"/>
    <w:rsid w:val="0075021B"/>
    <w:rsid w:val="00751459"/>
    <w:rsid w:val="0075190C"/>
    <w:rsid w:val="00751A70"/>
    <w:rsid w:val="00751A9C"/>
    <w:rsid w:val="00751D76"/>
    <w:rsid w:val="00752602"/>
    <w:rsid w:val="0075279B"/>
    <w:rsid w:val="007527DD"/>
    <w:rsid w:val="00753094"/>
    <w:rsid w:val="0075356E"/>
    <w:rsid w:val="00753793"/>
    <w:rsid w:val="007539C4"/>
    <w:rsid w:val="0075468C"/>
    <w:rsid w:val="00754747"/>
    <w:rsid w:val="00754A4C"/>
    <w:rsid w:val="00754AB7"/>
    <w:rsid w:val="00754C86"/>
    <w:rsid w:val="007554B1"/>
    <w:rsid w:val="00755D5D"/>
    <w:rsid w:val="0075618B"/>
    <w:rsid w:val="00756AA4"/>
    <w:rsid w:val="00757153"/>
    <w:rsid w:val="00757B1A"/>
    <w:rsid w:val="00757CF2"/>
    <w:rsid w:val="007600EF"/>
    <w:rsid w:val="00760656"/>
    <w:rsid w:val="00760FB3"/>
    <w:rsid w:val="00762279"/>
    <w:rsid w:val="007627A3"/>
    <w:rsid w:val="00763C8E"/>
    <w:rsid w:val="00763E5D"/>
    <w:rsid w:val="00763ECE"/>
    <w:rsid w:val="00764688"/>
    <w:rsid w:val="00764B63"/>
    <w:rsid w:val="00764E68"/>
    <w:rsid w:val="00764E6D"/>
    <w:rsid w:val="0076512A"/>
    <w:rsid w:val="0076642A"/>
    <w:rsid w:val="0076649B"/>
    <w:rsid w:val="00767740"/>
    <w:rsid w:val="00767BF5"/>
    <w:rsid w:val="0077021B"/>
    <w:rsid w:val="00770334"/>
    <w:rsid w:val="00770572"/>
    <w:rsid w:val="007705C2"/>
    <w:rsid w:val="00771232"/>
    <w:rsid w:val="00771438"/>
    <w:rsid w:val="00771ECC"/>
    <w:rsid w:val="00772054"/>
    <w:rsid w:val="00772DFC"/>
    <w:rsid w:val="00772FED"/>
    <w:rsid w:val="00773C61"/>
    <w:rsid w:val="00773EB8"/>
    <w:rsid w:val="00774031"/>
    <w:rsid w:val="00774266"/>
    <w:rsid w:val="00774292"/>
    <w:rsid w:val="007746F3"/>
    <w:rsid w:val="007755DE"/>
    <w:rsid w:val="00775671"/>
    <w:rsid w:val="00775714"/>
    <w:rsid w:val="0077572A"/>
    <w:rsid w:val="007758B2"/>
    <w:rsid w:val="00776579"/>
    <w:rsid w:val="00776734"/>
    <w:rsid w:val="007767EE"/>
    <w:rsid w:val="007772E3"/>
    <w:rsid w:val="007773B6"/>
    <w:rsid w:val="00777849"/>
    <w:rsid w:val="00777EE6"/>
    <w:rsid w:val="00780A25"/>
    <w:rsid w:val="00780BE5"/>
    <w:rsid w:val="007810C0"/>
    <w:rsid w:val="0078175B"/>
    <w:rsid w:val="0078195F"/>
    <w:rsid w:val="00781E90"/>
    <w:rsid w:val="00782166"/>
    <w:rsid w:val="0078225D"/>
    <w:rsid w:val="007829E3"/>
    <w:rsid w:val="00782C68"/>
    <w:rsid w:val="00782EEA"/>
    <w:rsid w:val="00783C0F"/>
    <w:rsid w:val="00784213"/>
    <w:rsid w:val="007845EB"/>
    <w:rsid w:val="007850CE"/>
    <w:rsid w:val="00785725"/>
    <w:rsid w:val="00785B68"/>
    <w:rsid w:val="007861EB"/>
    <w:rsid w:val="0079037A"/>
    <w:rsid w:val="007905DE"/>
    <w:rsid w:val="00790A39"/>
    <w:rsid w:val="007927F1"/>
    <w:rsid w:val="00792BDD"/>
    <w:rsid w:val="00792C9D"/>
    <w:rsid w:val="007939F1"/>
    <w:rsid w:val="00794776"/>
    <w:rsid w:val="00794974"/>
    <w:rsid w:val="0079544D"/>
    <w:rsid w:val="00796166"/>
    <w:rsid w:val="00796D55"/>
    <w:rsid w:val="00797185"/>
    <w:rsid w:val="00797276"/>
    <w:rsid w:val="00797A06"/>
    <w:rsid w:val="00797AB6"/>
    <w:rsid w:val="007A088C"/>
    <w:rsid w:val="007A0A83"/>
    <w:rsid w:val="007A0C0D"/>
    <w:rsid w:val="007A0CF9"/>
    <w:rsid w:val="007A0EED"/>
    <w:rsid w:val="007A1106"/>
    <w:rsid w:val="007A1A10"/>
    <w:rsid w:val="007A2A18"/>
    <w:rsid w:val="007A32E8"/>
    <w:rsid w:val="007A3416"/>
    <w:rsid w:val="007A3671"/>
    <w:rsid w:val="007A377F"/>
    <w:rsid w:val="007A39DC"/>
    <w:rsid w:val="007A4800"/>
    <w:rsid w:val="007A4C3B"/>
    <w:rsid w:val="007A53DE"/>
    <w:rsid w:val="007A5BE6"/>
    <w:rsid w:val="007A6AAB"/>
    <w:rsid w:val="007A6B71"/>
    <w:rsid w:val="007A6C76"/>
    <w:rsid w:val="007A6C9E"/>
    <w:rsid w:val="007A75B7"/>
    <w:rsid w:val="007A784E"/>
    <w:rsid w:val="007B01D8"/>
    <w:rsid w:val="007B05C7"/>
    <w:rsid w:val="007B073B"/>
    <w:rsid w:val="007B0D7E"/>
    <w:rsid w:val="007B0E13"/>
    <w:rsid w:val="007B17F8"/>
    <w:rsid w:val="007B276D"/>
    <w:rsid w:val="007B2896"/>
    <w:rsid w:val="007B29AF"/>
    <w:rsid w:val="007B2C72"/>
    <w:rsid w:val="007B34CE"/>
    <w:rsid w:val="007B40BE"/>
    <w:rsid w:val="007B5026"/>
    <w:rsid w:val="007B5532"/>
    <w:rsid w:val="007B6809"/>
    <w:rsid w:val="007B6E5F"/>
    <w:rsid w:val="007B7195"/>
    <w:rsid w:val="007B73A4"/>
    <w:rsid w:val="007B7B94"/>
    <w:rsid w:val="007C07D8"/>
    <w:rsid w:val="007C07FF"/>
    <w:rsid w:val="007C093E"/>
    <w:rsid w:val="007C0B04"/>
    <w:rsid w:val="007C11D0"/>
    <w:rsid w:val="007C13C5"/>
    <w:rsid w:val="007C17C6"/>
    <w:rsid w:val="007C1C2A"/>
    <w:rsid w:val="007C1C53"/>
    <w:rsid w:val="007C1F31"/>
    <w:rsid w:val="007C37CF"/>
    <w:rsid w:val="007C3F1A"/>
    <w:rsid w:val="007C463F"/>
    <w:rsid w:val="007C4C2B"/>
    <w:rsid w:val="007C4DB4"/>
    <w:rsid w:val="007C4E57"/>
    <w:rsid w:val="007C4F84"/>
    <w:rsid w:val="007C59DE"/>
    <w:rsid w:val="007C5BC6"/>
    <w:rsid w:val="007C65C0"/>
    <w:rsid w:val="007C67B6"/>
    <w:rsid w:val="007C6AC0"/>
    <w:rsid w:val="007D0B34"/>
    <w:rsid w:val="007D1230"/>
    <w:rsid w:val="007D16B1"/>
    <w:rsid w:val="007D17FA"/>
    <w:rsid w:val="007D1A57"/>
    <w:rsid w:val="007D1E44"/>
    <w:rsid w:val="007D2D1A"/>
    <w:rsid w:val="007D3BB7"/>
    <w:rsid w:val="007D3BFF"/>
    <w:rsid w:val="007D4664"/>
    <w:rsid w:val="007D4710"/>
    <w:rsid w:val="007D4B67"/>
    <w:rsid w:val="007D510E"/>
    <w:rsid w:val="007D526C"/>
    <w:rsid w:val="007D5E8B"/>
    <w:rsid w:val="007D6764"/>
    <w:rsid w:val="007D723A"/>
    <w:rsid w:val="007D73E4"/>
    <w:rsid w:val="007D77D5"/>
    <w:rsid w:val="007D7860"/>
    <w:rsid w:val="007D7B9B"/>
    <w:rsid w:val="007D7C32"/>
    <w:rsid w:val="007E005E"/>
    <w:rsid w:val="007E0565"/>
    <w:rsid w:val="007E1AA1"/>
    <w:rsid w:val="007E20E8"/>
    <w:rsid w:val="007E2355"/>
    <w:rsid w:val="007E259B"/>
    <w:rsid w:val="007E26A9"/>
    <w:rsid w:val="007E28BE"/>
    <w:rsid w:val="007E294C"/>
    <w:rsid w:val="007E3DF9"/>
    <w:rsid w:val="007E3E02"/>
    <w:rsid w:val="007E461F"/>
    <w:rsid w:val="007E479B"/>
    <w:rsid w:val="007E4904"/>
    <w:rsid w:val="007E4CB5"/>
    <w:rsid w:val="007E55EC"/>
    <w:rsid w:val="007E5CBC"/>
    <w:rsid w:val="007E5D2F"/>
    <w:rsid w:val="007E616F"/>
    <w:rsid w:val="007E6A40"/>
    <w:rsid w:val="007E6F31"/>
    <w:rsid w:val="007E7028"/>
    <w:rsid w:val="007E73E9"/>
    <w:rsid w:val="007E743F"/>
    <w:rsid w:val="007E78F8"/>
    <w:rsid w:val="007E7AA5"/>
    <w:rsid w:val="007F009B"/>
    <w:rsid w:val="007F022E"/>
    <w:rsid w:val="007F066B"/>
    <w:rsid w:val="007F07EB"/>
    <w:rsid w:val="007F142D"/>
    <w:rsid w:val="007F18F4"/>
    <w:rsid w:val="007F1FED"/>
    <w:rsid w:val="007F3ED3"/>
    <w:rsid w:val="007F3FB8"/>
    <w:rsid w:val="007F3FEF"/>
    <w:rsid w:val="007F6DA2"/>
    <w:rsid w:val="008007E5"/>
    <w:rsid w:val="00800892"/>
    <w:rsid w:val="00800BC1"/>
    <w:rsid w:val="00800C66"/>
    <w:rsid w:val="0080115F"/>
    <w:rsid w:val="00801B59"/>
    <w:rsid w:val="008026A3"/>
    <w:rsid w:val="00802778"/>
    <w:rsid w:val="00802D4C"/>
    <w:rsid w:val="0080324F"/>
    <w:rsid w:val="008033C4"/>
    <w:rsid w:val="00803472"/>
    <w:rsid w:val="00803761"/>
    <w:rsid w:val="00803777"/>
    <w:rsid w:val="0080550F"/>
    <w:rsid w:val="0080599B"/>
    <w:rsid w:val="00805DE8"/>
    <w:rsid w:val="00806096"/>
    <w:rsid w:val="00806117"/>
    <w:rsid w:val="00806C88"/>
    <w:rsid w:val="00806CBF"/>
    <w:rsid w:val="00806F42"/>
    <w:rsid w:val="00807AEC"/>
    <w:rsid w:val="0081034E"/>
    <w:rsid w:val="0081047B"/>
    <w:rsid w:val="008107A2"/>
    <w:rsid w:val="00810F59"/>
    <w:rsid w:val="00810F9F"/>
    <w:rsid w:val="008111B0"/>
    <w:rsid w:val="00811387"/>
    <w:rsid w:val="0081165E"/>
    <w:rsid w:val="00811AF3"/>
    <w:rsid w:val="00811CB9"/>
    <w:rsid w:val="00811DF3"/>
    <w:rsid w:val="00811FCB"/>
    <w:rsid w:val="00812CB3"/>
    <w:rsid w:val="00812E57"/>
    <w:rsid w:val="00814478"/>
    <w:rsid w:val="008148FE"/>
    <w:rsid w:val="00814DD2"/>
    <w:rsid w:val="00814FC3"/>
    <w:rsid w:val="008152BE"/>
    <w:rsid w:val="00815998"/>
    <w:rsid w:val="008159BB"/>
    <w:rsid w:val="00816277"/>
    <w:rsid w:val="008165C6"/>
    <w:rsid w:val="0081676E"/>
    <w:rsid w:val="00816AB6"/>
    <w:rsid w:val="00816DF4"/>
    <w:rsid w:val="00820A9C"/>
    <w:rsid w:val="00821C1B"/>
    <w:rsid w:val="008226DC"/>
    <w:rsid w:val="008226DF"/>
    <w:rsid w:val="00822DC4"/>
    <w:rsid w:val="00822F73"/>
    <w:rsid w:val="00822FFD"/>
    <w:rsid w:val="008230A1"/>
    <w:rsid w:val="008230A6"/>
    <w:rsid w:val="00823A5B"/>
    <w:rsid w:val="008254EF"/>
    <w:rsid w:val="00825D3F"/>
    <w:rsid w:val="00825D86"/>
    <w:rsid w:val="00825E3F"/>
    <w:rsid w:val="0082605D"/>
    <w:rsid w:val="008262F9"/>
    <w:rsid w:val="008267B6"/>
    <w:rsid w:val="00826908"/>
    <w:rsid w:val="008274F1"/>
    <w:rsid w:val="0082761C"/>
    <w:rsid w:val="00830220"/>
    <w:rsid w:val="0083183A"/>
    <w:rsid w:val="00831C47"/>
    <w:rsid w:val="0083236B"/>
    <w:rsid w:val="0083251B"/>
    <w:rsid w:val="00833940"/>
    <w:rsid w:val="00833D7D"/>
    <w:rsid w:val="008344F6"/>
    <w:rsid w:val="00834C03"/>
    <w:rsid w:val="0083510F"/>
    <w:rsid w:val="0083515B"/>
    <w:rsid w:val="008358F1"/>
    <w:rsid w:val="00835CEC"/>
    <w:rsid w:val="00835FE0"/>
    <w:rsid w:val="00836ED5"/>
    <w:rsid w:val="00837109"/>
    <w:rsid w:val="0083766D"/>
    <w:rsid w:val="00840292"/>
    <w:rsid w:val="0084041F"/>
    <w:rsid w:val="008404F9"/>
    <w:rsid w:val="0084077B"/>
    <w:rsid w:val="008407A1"/>
    <w:rsid w:val="00840D1D"/>
    <w:rsid w:val="00840D4D"/>
    <w:rsid w:val="00842029"/>
    <w:rsid w:val="00842415"/>
    <w:rsid w:val="00842613"/>
    <w:rsid w:val="00842905"/>
    <w:rsid w:val="00842AEA"/>
    <w:rsid w:val="00842CF6"/>
    <w:rsid w:val="00843320"/>
    <w:rsid w:val="0084337D"/>
    <w:rsid w:val="008433F4"/>
    <w:rsid w:val="0084359C"/>
    <w:rsid w:val="00843ADD"/>
    <w:rsid w:val="00843B5A"/>
    <w:rsid w:val="0084466E"/>
    <w:rsid w:val="00844BEB"/>
    <w:rsid w:val="00844C08"/>
    <w:rsid w:val="00844C9C"/>
    <w:rsid w:val="00844ECB"/>
    <w:rsid w:val="00845D91"/>
    <w:rsid w:val="0084709A"/>
    <w:rsid w:val="00847A3D"/>
    <w:rsid w:val="008503E3"/>
    <w:rsid w:val="00850E14"/>
    <w:rsid w:val="00851105"/>
    <w:rsid w:val="00851209"/>
    <w:rsid w:val="00851D80"/>
    <w:rsid w:val="00852A45"/>
    <w:rsid w:val="00852C27"/>
    <w:rsid w:val="00853246"/>
    <w:rsid w:val="0085327E"/>
    <w:rsid w:val="00853381"/>
    <w:rsid w:val="00853717"/>
    <w:rsid w:val="00853A9F"/>
    <w:rsid w:val="00855139"/>
    <w:rsid w:val="00857EE5"/>
    <w:rsid w:val="00861CC2"/>
    <w:rsid w:val="00863067"/>
    <w:rsid w:val="0086342D"/>
    <w:rsid w:val="008634A7"/>
    <w:rsid w:val="00864355"/>
    <w:rsid w:val="00864CA3"/>
    <w:rsid w:val="008653FE"/>
    <w:rsid w:val="0086584F"/>
    <w:rsid w:val="00865C1A"/>
    <w:rsid w:val="00866509"/>
    <w:rsid w:val="0086665E"/>
    <w:rsid w:val="00866EB0"/>
    <w:rsid w:val="0086760E"/>
    <w:rsid w:val="00871325"/>
    <w:rsid w:val="0087135E"/>
    <w:rsid w:val="00872547"/>
    <w:rsid w:val="00873285"/>
    <w:rsid w:val="00873EF2"/>
    <w:rsid w:val="00873F47"/>
    <w:rsid w:val="00873FA7"/>
    <w:rsid w:val="008749FA"/>
    <w:rsid w:val="00874E28"/>
    <w:rsid w:val="0087505C"/>
    <w:rsid w:val="0087554E"/>
    <w:rsid w:val="00875A43"/>
    <w:rsid w:val="00875A7A"/>
    <w:rsid w:val="00876069"/>
    <w:rsid w:val="00876074"/>
    <w:rsid w:val="0087620D"/>
    <w:rsid w:val="0087711D"/>
    <w:rsid w:val="00877557"/>
    <w:rsid w:val="0088007E"/>
    <w:rsid w:val="00880305"/>
    <w:rsid w:val="008804BD"/>
    <w:rsid w:val="00881539"/>
    <w:rsid w:val="00881682"/>
    <w:rsid w:val="008821FD"/>
    <w:rsid w:val="0088243D"/>
    <w:rsid w:val="008829D5"/>
    <w:rsid w:val="00882A23"/>
    <w:rsid w:val="00882D65"/>
    <w:rsid w:val="00883350"/>
    <w:rsid w:val="008837AC"/>
    <w:rsid w:val="00883C59"/>
    <w:rsid w:val="00883E2B"/>
    <w:rsid w:val="008850A2"/>
    <w:rsid w:val="008851E5"/>
    <w:rsid w:val="0088576F"/>
    <w:rsid w:val="00886264"/>
    <w:rsid w:val="008863E6"/>
    <w:rsid w:val="00886638"/>
    <w:rsid w:val="008866C0"/>
    <w:rsid w:val="00886B84"/>
    <w:rsid w:val="00886C48"/>
    <w:rsid w:val="00886D36"/>
    <w:rsid w:val="008872D8"/>
    <w:rsid w:val="00887B23"/>
    <w:rsid w:val="00887C47"/>
    <w:rsid w:val="00890491"/>
    <w:rsid w:val="00890782"/>
    <w:rsid w:val="00890C17"/>
    <w:rsid w:val="00890EF9"/>
    <w:rsid w:val="00892F3F"/>
    <w:rsid w:val="00893029"/>
    <w:rsid w:val="00893038"/>
    <w:rsid w:val="0089309D"/>
    <w:rsid w:val="0089313B"/>
    <w:rsid w:val="0089411D"/>
    <w:rsid w:val="00894129"/>
    <w:rsid w:val="008942E9"/>
    <w:rsid w:val="008943FA"/>
    <w:rsid w:val="008945B4"/>
    <w:rsid w:val="0089490B"/>
    <w:rsid w:val="0089563F"/>
    <w:rsid w:val="00895755"/>
    <w:rsid w:val="00895F14"/>
    <w:rsid w:val="008961A5"/>
    <w:rsid w:val="00896340"/>
    <w:rsid w:val="00896644"/>
    <w:rsid w:val="00896A0F"/>
    <w:rsid w:val="00896B3B"/>
    <w:rsid w:val="00896CE1"/>
    <w:rsid w:val="0089712F"/>
    <w:rsid w:val="008973FF"/>
    <w:rsid w:val="00897690"/>
    <w:rsid w:val="00897ABD"/>
    <w:rsid w:val="00897EA8"/>
    <w:rsid w:val="008A1190"/>
    <w:rsid w:val="008A180C"/>
    <w:rsid w:val="008A1D56"/>
    <w:rsid w:val="008A1DFA"/>
    <w:rsid w:val="008A217F"/>
    <w:rsid w:val="008A2487"/>
    <w:rsid w:val="008A26ED"/>
    <w:rsid w:val="008A2D8B"/>
    <w:rsid w:val="008A338E"/>
    <w:rsid w:val="008A3B27"/>
    <w:rsid w:val="008A45C6"/>
    <w:rsid w:val="008A488F"/>
    <w:rsid w:val="008A4900"/>
    <w:rsid w:val="008A4CFD"/>
    <w:rsid w:val="008A5499"/>
    <w:rsid w:val="008A587D"/>
    <w:rsid w:val="008A6DAA"/>
    <w:rsid w:val="008A6EFC"/>
    <w:rsid w:val="008A7767"/>
    <w:rsid w:val="008A7C66"/>
    <w:rsid w:val="008B0982"/>
    <w:rsid w:val="008B0AB9"/>
    <w:rsid w:val="008B0B0D"/>
    <w:rsid w:val="008B0BE5"/>
    <w:rsid w:val="008B0E0A"/>
    <w:rsid w:val="008B11AE"/>
    <w:rsid w:val="008B19D1"/>
    <w:rsid w:val="008B1B08"/>
    <w:rsid w:val="008B1DF7"/>
    <w:rsid w:val="008B21B5"/>
    <w:rsid w:val="008B2BA2"/>
    <w:rsid w:val="008B2EC2"/>
    <w:rsid w:val="008B2EF2"/>
    <w:rsid w:val="008B3A9C"/>
    <w:rsid w:val="008B3EE9"/>
    <w:rsid w:val="008B492C"/>
    <w:rsid w:val="008B4998"/>
    <w:rsid w:val="008B52C7"/>
    <w:rsid w:val="008B5B53"/>
    <w:rsid w:val="008B5F0D"/>
    <w:rsid w:val="008B5F33"/>
    <w:rsid w:val="008B60C4"/>
    <w:rsid w:val="008B6430"/>
    <w:rsid w:val="008B6718"/>
    <w:rsid w:val="008B6DED"/>
    <w:rsid w:val="008B7301"/>
    <w:rsid w:val="008C01B3"/>
    <w:rsid w:val="008C05E0"/>
    <w:rsid w:val="008C0698"/>
    <w:rsid w:val="008C0E77"/>
    <w:rsid w:val="008C1C26"/>
    <w:rsid w:val="008C1FF6"/>
    <w:rsid w:val="008C206C"/>
    <w:rsid w:val="008C22E0"/>
    <w:rsid w:val="008C2559"/>
    <w:rsid w:val="008C2800"/>
    <w:rsid w:val="008C2A4C"/>
    <w:rsid w:val="008C3C65"/>
    <w:rsid w:val="008C3D86"/>
    <w:rsid w:val="008C45B5"/>
    <w:rsid w:val="008C45DC"/>
    <w:rsid w:val="008C4679"/>
    <w:rsid w:val="008C5486"/>
    <w:rsid w:val="008C65CE"/>
    <w:rsid w:val="008C6A6F"/>
    <w:rsid w:val="008C71F7"/>
    <w:rsid w:val="008C7422"/>
    <w:rsid w:val="008D02E9"/>
    <w:rsid w:val="008D139A"/>
    <w:rsid w:val="008D13BA"/>
    <w:rsid w:val="008D182C"/>
    <w:rsid w:val="008D1C7E"/>
    <w:rsid w:val="008D1CD6"/>
    <w:rsid w:val="008D2BB5"/>
    <w:rsid w:val="008D2BC0"/>
    <w:rsid w:val="008D2DA0"/>
    <w:rsid w:val="008D2E97"/>
    <w:rsid w:val="008D315F"/>
    <w:rsid w:val="008D3761"/>
    <w:rsid w:val="008D3A47"/>
    <w:rsid w:val="008D3B3C"/>
    <w:rsid w:val="008D3D6B"/>
    <w:rsid w:val="008D41D7"/>
    <w:rsid w:val="008D46B8"/>
    <w:rsid w:val="008D4AE0"/>
    <w:rsid w:val="008D52FF"/>
    <w:rsid w:val="008D5330"/>
    <w:rsid w:val="008D589E"/>
    <w:rsid w:val="008D5A5C"/>
    <w:rsid w:val="008D5B5B"/>
    <w:rsid w:val="008D5D26"/>
    <w:rsid w:val="008D5D72"/>
    <w:rsid w:val="008D6030"/>
    <w:rsid w:val="008D60D4"/>
    <w:rsid w:val="008D62F2"/>
    <w:rsid w:val="008D693F"/>
    <w:rsid w:val="008D7488"/>
    <w:rsid w:val="008E05A3"/>
    <w:rsid w:val="008E0BDB"/>
    <w:rsid w:val="008E0BF0"/>
    <w:rsid w:val="008E0C32"/>
    <w:rsid w:val="008E2059"/>
    <w:rsid w:val="008E21E5"/>
    <w:rsid w:val="008E22FF"/>
    <w:rsid w:val="008E293A"/>
    <w:rsid w:val="008E32B4"/>
    <w:rsid w:val="008E3F61"/>
    <w:rsid w:val="008E4383"/>
    <w:rsid w:val="008E525F"/>
    <w:rsid w:val="008E5E88"/>
    <w:rsid w:val="008E6C29"/>
    <w:rsid w:val="008E6D61"/>
    <w:rsid w:val="008E7031"/>
    <w:rsid w:val="008E70C4"/>
    <w:rsid w:val="008E7285"/>
    <w:rsid w:val="008E74AD"/>
    <w:rsid w:val="008E793C"/>
    <w:rsid w:val="008E7A31"/>
    <w:rsid w:val="008F03DB"/>
    <w:rsid w:val="008F0772"/>
    <w:rsid w:val="008F0DA3"/>
    <w:rsid w:val="008F1772"/>
    <w:rsid w:val="008F24FE"/>
    <w:rsid w:val="008F3491"/>
    <w:rsid w:val="008F3756"/>
    <w:rsid w:val="008F37B2"/>
    <w:rsid w:val="008F38EC"/>
    <w:rsid w:val="008F409E"/>
    <w:rsid w:val="008F4508"/>
    <w:rsid w:val="008F51A9"/>
    <w:rsid w:val="008F5ACA"/>
    <w:rsid w:val="008F6A30"/>
    <w:rsid w:val="008F6D0D"/>
    <w:rsid w:val="008F70C9"/>
    <w:rsid w:val="008F7292"/>
    <w:rsid w:val="008F76CE"/>
    <w:rsid w:val="008F7B5D"/>
    <w:rsid w:val="00900260"/>
    <w:rsid w:val="009003AE"/>
    <w:rsid w:val="00900439"/>
    <w:rsid w:val="00900450"/>
    <w:rsid w:val="00900993"/>
    <w:rsid w:val="00900D55"/>
    <w:rsid w:val="0090162A"/>
    <w:rsid w:val="00901A01"/>
    <w:rsid w:val="00901B31"/>
    <w:rsid w:val="00901E72"/>
    <w:rsid w:val="00901EBC"/>
    <w:rsid w:val="00902123"/>
    <w:rsid w:val="00902142"/>
    <w:rsid w:val="0090245E"/>
    <w:rsid w:val="009035B3"/>
    <w:rsid w:val="00903FDE"/>
    <w:rsid w:val="00904112"/>
    <w:rsid w:val="009042D3"/>
    <w:rsid w:val="009050AA"/>
    <w:rsid w:val="00905836"/>
    <w:rsid w:val="00906050"/>
    <w:rsid w:val="00906241"/>
    <w:rsid w:val="009064E2"/>
    <w:rsid w:val="009064E3"/>
    <w:rsid w:val="00906D2B"/>
    <w:rsid w:val="00910037"/>
    <w:rsid w:val="00910413"/>
    <w:rsid w:val="009107E8"/>
    <w:rsid w:val="00910B2F"/>
    <w:rsid w:val="00910CA7"/>
    <w:rsid w:val="00911476"/>
    <w:rsid w:val="00911AFB"/>
    <w:rsid w:val="00911D3B"/>
    <w:rsid w:val="00911E1A"/>
    <w:rsid w:val="0091236C"/>
    <w:rsid w:val="00912423"/>
    <w:rsid w:val="00912B7F"/>
    <w:rsid w:val="0091330C"/>
    <w:rsid w:val="00913EE2"/>
    <w:rsid w:val="009144A1"/>
    <w:rsid w:val="009145B8"/>
    <w:rsid w:val="00914689"/>
    <w:rsid w:val="009154FB"/>
    <w:rsid w:val="009156BB"/>
    <w:rsid w:val="00915E3D"/>
    <w:rsid w:val="00916070"/>
    <w:rsid w:val="0091616F"/>
    <w:rsid w:val="00916207"/>
    <w:rsid w:val="0091688C"/>
    <w:rsid w:val="009169ED"/>
    <w:rsid w:val="00916F6D"/>
    <w:rsid w:val="00920148"/>
    <w:rsid w:val="0092078F"/>
    <w:rsid w:val="00921B8F"/>
    <w:rsid w:val="009220B5"/>
    <w:rsid w:val="00922394"/>
    <w:rsid w:val="00922C95"/>
    <w:rsid w:val="009233EE"/>
    <w:rsid w:val="0092377C"/>
    <w:rsid w:val="009238CA"/>
    <w:rsid w:val="00924124"/>
    <w:rsid w:val="0092472D"/>
    <w:rsid w:val="0092499A"/>
    <w:rsid w:val="00925653"/>
    <w:rsid w:val="00926A3A"/>
    <w:rsid w:val="009273EF"/>
    <w:rsid w:val="009276B0"/>
    <w:rsid w:val="00927776"/>
    <w:rsid w:val="00927C7C"/>
    <w:rsid w:val="0093011D"/>
    <w:rsid w:val="00930B5B"/>
    <w:rsid w:val="009315CB"/>
    <w:rsid w:val="00931C30"/>
    <w:rsid w:val="00931F6E"/>
    <w:rsid w:val="009331F6"/>
    <w:rsid w:val="009348F3"/>
    <w:rsid w:val="009349AA"/>
    <w:rsid w:val="00934F90"/>
    <w:rsid w:val="00935073"/>
    <w:rsid w:val="00935254"/>
    <w:rsid w:val="0093535F"/>
    <w:rsid w:val="0093593E"/>
    <w:rsid w:val="00935A74"/>
    <w:rsid w:val="009363EE"/>
    <w:rsid w:val="0093685A"/>
    <w:rsid w:val="00936EA0"/>
    <w:rsid w:val="00937151"/>
    <w:rsid w:val="009372D9"/>
    <w:rsid w:val="009377B1"/>
    <w:rsid w:val="0094075B"/>
    <w:rsid w:val="009408C9"/>
    <w:rsid w:val="009409C2"/>
    <w:rsid w:val="00940E09"/>
    <w:rsid w:val="00941E36"/>
    <w:rsid w:val="009421F3"/>
    <w:rsid w:val="009429BD"/>
    <w:rsid w:val="00942F07"/>
    <w:rsid w:val="00943462"/>
    <w:rsid w:val="009435BE"/>
    <w:rsid w:val="00943717"/>
    <w:rsid w:val="00943FB1"/>
    <w:rsid w:val="00944650"/>
    <w:rsid w:val="00945A3E"/>
    <w:rsid w:val="00945E42"/>
    <w:rsid w:val="00946BAB"/>
    <w:rsid w:val="00946C1E"/>
    <w:rsid w:val="00947AAC"/>
    <w:rsid w:val="00947BA1"/>
    <w:rsid w:val="009512DA"/>
    <w:rsid w:val="00951F9C"/>
    <w:rsid w:val="009520C3"/>
    <w:rsid w:val="00952255"/>
    <w:rsid w:val="00952434"/>
    <w:rsid w:val="00952D2D"/>
    <w:rsid w:val="00952D73"/>
    <w:rsid w:val="00952E3D"/>
    <w:rsid w:val="00953888"/>
    <w:rsid w:val="0095399E"/>
    <w:rsid w:val="00953F40"/>
    <w:rsid w:val="00953FB6"/>
    <w:rsid w:val="0095400E"/>
    <w:rsid w:val="0095411E"/>
    <w:rsid w:val="00954D1D"/>
    <w:rsid w:val="00954EAE"/>
    <w:rsid w:val="009563DD"/>
    <w:rsid w:val="0095662B"/>
    <w:rsid w:val="00956EBF"/>
    <w:rsid w:val="009575FA"/>
    <w:rsid w:val="009601BD"/>
    <w:rsid w:val="009603CB"/>
    <w:rsid w:val="0096070F"/>
    <w:rsid w:val="00960947"/>
    <w:rsid w:val="00960BB4"/>
    <w:rsid w:val="00960C02"/>
    <w:rsid w:val="00960FDB"/>
    <w:rsid w:val="0096192B"/>
    <w:rsid w:val="00961B45"/>
    <w:rsid w:val="00962159"/>
    <w:rsid w:val="009628D5"/>
    <w:rsid w:val="00962D74"/>
    <w:rsid w:val="00962DAF"/>
    <w:rsid w:val="009631F1"/>
    <w:rsid w:val="00964188"/>
    <w:rsid w:val="00964E1F"/>
    <w:rsid w:val="00965D6D"/>
    <w:rsid w:val="009661DE"/>
    <w:rsid w:val="0096630E"/>
    <w:rsid w:val="00966375"/>
    <w:rsid w:val="00966B65"/>
    <w:rsid w:val="00967313"/>
    <w:rsid w:val="009674CC"/>
    <w:rsid w:val="00967CC7"/>
    <w:rsid w:val="0097055B"/>
    <w:rsid w:val="00970CE4"/>
    <w:rsid w:val="00970E68"/>
    <w:rsid w:val="00971006"/>
    <w:rsid w:val="009712E1"/>
    <w:rsid w:val="00971516"/>
    <w:rsid w:val="00971617"/>
    <w:rsid w:val="00972608"/>
    <w:rsid w:val="00972E14"/>
    <w:rsid w:val="00973A4E"/>
    <w:rsid w:val="00973A90"/>
    <w:rsid w:val="00973AC1"/>
    <w:rsid w:val="00974C51"/>
    <w:rsid w:val="00974CA3"/>
    <w:rsid w:val="00974EEA"/>
    <w:rsid w:val="009750B9"/>
    <w:rsid w:val="009751C6"/>
    <w:rsid w:val="009754ED"/>
    <w:rsid w:val="009759AD"/>
    <w:rsid w:val="00976243"/>
    <w:rsid w:val="00976F6F"/>
    <w:rsid w:val="00977154"/>
    <w:rsid w:val="00977496"/>
    <w:rsid w:val="009775B3"/>
    <w:rsid w:val="0097774E"/>
    <w:rsid w:val="009777B2"/>
    <w:rsid w:val="0098066A"/>
    <w:rsid w:val="00980EA8"/>
    <w:rsid w:val="0098115E"/>
    <w:rsid w:val="009813C1"/>
    <w:rsid w:val="0098196D"/>
    <w:rsid w:val="00981FB3"/>
    <w:rsid w:val="009821CE"/>
    <w:rsid w:val="00982E46"/>
    <w:rsid w:val="009846E3"/>
    <w:rsid w:val="00984A91"/>
    <w:rsid w:val="00984C1B"/>
    <w:rsid w:val="00984E35"/>
    <w:rsid w:val="00984E72"/>
    <w:rsid w:val="009856B7"/>
    <w:rsid w:val="0098602B"/>
    <w:rsid w:val="009863C8"/>
    <w:rsid w:val="009868FB"/>
    <w:rsid w:val="009870FC"/>
    <w:rsid w:val="00987161"/>
    <w:rsid w:val="009908F1"/>
    <w:rsid w:val="009914DF"/>
    <w:rsid w:val="0099152F"/>
    <w:rsid w:val="00991B3B"/>
    <w:rsid w:val="00992C80"/>
    <w:rsid w:val="00992CF0"/>
    <w:rsid w:val="00992D57"/>
    <w:rsid w:val="00993254"/>
    <w:rsid w:val="009939FE"/>
    <w:rsid w:val="00993C96"/>
    <w:rsid w:val="009958B6"/>
    <w:rsid w:val="00995B6C"/>
    <w:rsid w:val="00995F77"/>
    <w:rsid w:val="009962BA"/>
    <w:rsid w:val="00996AA3"/>
    <w:rsid w:val="00996BE4"/>
    <w:rsid w:val="00996E13"/>
    <w:rsid w:val="009A03AD"/>
    <w:rsid w:val="009A09FC"/>
    <w:rsid w:val="009A0B1A"/>
    <w:rsid w:val="009A0D30"/>
    <w:rsid w:val="009A0D48"/>
    <w:rsid w:val="009A1005"/>
    <w:rsid w:val="009A1508"/>
    <w:rsid w:val="009A22C4"/>
    <w:rsid w:val="009A22E8"/>
    <w:rsid w:val="009A2A06"/>
    <w:rsid w:val="009A2EE3"/>
    <w:rsid w:val="009A3210"/>
    <w:rsid w:val="009A3306"/>
    <w:rsid w:val="009A3AB9"/>
    <w:rsid w:val="009A3E2E"/>
    <w:rsid w:val="009A4937"/>
    <w:rsid w:val="009A4C18"/>
    <w:rsid w:val="009A4EAE"/>
    <w:rsid w:val="009A5182"/>
    <w:rsid w:val="009A58EB"/>
    <w:rsid w:val="009A5E25"/>
    <w:rsid w:val="009A62F9"/>
    <w:rsid w:val="009A6748"/>
    <w:rsid w:val="009A73AA"/>
    <w:rsid w:val="009A7576"/>
    <w:rsid w:val="009B0793"/>
    <w:rsid w:val="009B219D"/>
    <w:rsid w:val="009B2224"/>
    <w:rsid w:val="009B2A92"/>
    <w:rsid w:val="009B3590"/>
    <w:rsid w:val="009B371B"/>
    <w:rsid w:val="009B44B7"/>
    <w:rsid w:val="009B4948"/>
    <w:rsid w:val="009B58FC"/>
    <w:rsid w:val="009B6511"/>
    <w:rsid w:val="009B6A15"/>
    <w:rsid w:val="009B7051"/>
    <w:rsid w:val="009B70D0"/>
    <w:rsid w:val="009B7207"/>
    <w:rsid w:val="009B73B4"/>
    <w:rsid w:val="009B74B0"/>
    <w:rsid w:val="009B79ED"/>
    <w:rsid w:val="009B7A2E"/>
    <w:rsid w:val="009B7F0D"/>
    <w:rsid w:val="009C03A5"/>
    <w:rsid w:val="009C05E6"/>
    <w:rsid w:val="009C0853"/>
    <w:rsid w:val="009C1077"/>
    <w:rsid w:val="009C18E8"/>
    <w:rsid w:val="009C1B84"/>
    <w:rsid w:val="009C1E2C"/>
    <w:rsid w:val="009C2F9B"/>
    <w:rsid w:val="009C3667"/>
    <w:rsid w:val="009C3731"/>
    <w:rsid w:val="009C38C9"/>
    <w:rsid w:val="009C395B"/>
    <w:rsid w:val="009C3AF8"/>
    <w:rsid w:val="009C3CDB"/>
    <w:rsid w:val="009C3D25"/>
    <w:rsid w:val="009C3F56"/>
    <w:rsid w:val="009C46A0"/>
    <w:rsid w:val="009C4C5D"/>
    <w:rsid w:val="009C55DA"/>
    <w:rsid w:val="009C61DD"/>
    <w:rsid w:val="009C624B"/>
    <w:rsid w:val="009C624F"/>
    <w:rsid w:val="009C62E1"/>
    <w:rsid w:val="009C6588"/>
    <w:rsid w:val="009C7605"/>
    <w:rsid w:val="009C7BA8"/>
    <w:rsid w:val="009C7CBA"/>
    <w:rsid w:val="009D0401"/>
    <w:rsid w:val="009D0CF1"/>
    <w:rsid w:val="009D1EC2"/>
    <w:rsid w:val="009D2013"/>
    <w:rsid w:val="009D209E"/>
    <w:rsid w:val="009D2368"/>
    <w:rsid w:val="009D2537"/>
    <w:rsid w:val="009D2608"/>
    <w:rsid w:val="009D2CC3"/>
    <w:rsid w:val="009D2EDF"/>
    <w:rsid w:val="009D3997"/>
    <w:rsid w:val="009D3C4C"/>
    <w:rsid w:val="009D4414"/>
    <w:rsid w:val="009D471F"/>
    <w:rsid w:val="009D477F"/>
    <w:rsid w:val="009D5609"/>
    <w:rsid w:val="009D5FC3"/>
    <w:rsid w:val="009D630B"/>
    <w:rsid w:val="009D6B46"/>
    <w:rsid w:val="009D71D9"/>
    <w:rsid w:val="009D75DF"/>
    <w:rsid w:val="009D763E"/>
    <w:rsid w:val="009E0ADE"/>
    <w:rsid w:val="009E143C"/>
    <w:rsid w:val="009E2119"/>
    <w:rsid w:val="009E2EB7"/>
    <w:rsid w:val="009E3769"/>
    <w:rsid w:val="009E3C71"/>
    <w:rsid w:val="009E43F8"/>
    <w:rsid w:val="009E4AB2"/>
    <w:rsid w:val="009E4F7F"/>
    <w:rsid w:val="009E54DE"/>
    <w:rsid w:val="009E5607"/>
    <w:rsid w:val="009E602E"/>
    <w:rsid w:val="009E618F"/>
    <w:rsid w:val="009E6811"/>
    <w:rsid w:val="009E68E1"/>
    <w:rsid w:val="009E7861"/>
    <w:rsid w:val="009F08F1"/>
    <w:rsid w:val="009F1226"/>
    <w:rsid w:val="009F1964"/>
    <w:rsid w:val="009F25C4"/>
    <w:rsid w:val="009F2FFD"/>
    <w:rsid w:val="009F3D50"/>
    <w:rsid w:val="009F3E49"/>
    <w:rsid w:val="009F41B0"/>
    <w:rsid w:val="009F44C6"/>
    <w:rsid w:val="009F47A5"/>
    <w:rsid w:val="009F4940"/>
    <w:rsid w:val="009F57E6"/>
    <w:rsid w:val="009F59B1"/>
    <w:rsid w:val="009F5DF9"/>
    <w:rsid w:val="009F655C"/>
    <w:rsid w:val="009F6A9D"/>
    <w:rsid w:val="009F767C"/>
    <w:rsid w:val="009F7B55"/>
    <w:rsid w:val="009F7BE3"/>
    <w:rsid w:val="009F7E52"/>
    <w:rsid w:val="00A002C1"/>
    <w:rsid w:val="00A003AD"/>
    <w:rsid w:val="00A00E94"/>
    <w:rsid w:val="00A011CC"/>
    <w:rsid w:val="00A0161F"/>
    <w:rsid w:val="00A01CE7"/>
    <w:rsid w:val="00A01E20"/>
    <w:rsid w:val="00A02031"/>
    <w:rsid w:val="00A02288"/>
    <w:rsid w:val="00A0248C"/>
    <w:rsid w:val="00A02EF3"/>
    <w:rsid w:val="00A0344A"/>
    <w:rsid w:val="00A0384F"/>
    <w:rsid w:val="00A03CA7"/>
    <w:rsid w:val="00A04D02"/>
    <w:rsid w:val="00A05A93"/>
    <w:rsid w:val="00A05B96"/>
    <w:rsid w:val="00A0618B"/>
    <w:rsid w:val="00A0667A"/>
    <w:rsid w:val="00A0673F"/>
    <w:rsid w:val="00A079E7"/>
    <w:rsid w:val="00A07ADE"/>
    <w:rsid w:val="00A07DD3"/>
    <w:rsid w:val="00A10594"/>
    <w:rsid w:val="00A10740"/>
    <w:rsid w:val="00A10B78"/>
    <w:rsid w:val="00A1282D"/>
    <w:rsid w:val="00A1363A"/>
    <w:rsid w:val="00A14F8F"/>
    <w:rsid w:val="00A15CEE"/>
    <w:rsid w:val="00A1665B"/>
    <w:rsid w:val="00A1755F"/>
    <w:rsid w:val="00A17C25"/>
    <w:rsid w:val="00A200FB"/>
    <w:rsid w:val="00A2030B"/>
    <w:rsid w:val="00A20C17"/>
    <w:rsid w:val="00A217EF"/>
    <w:rsid w:val="00A21820"/>
    <w:rsid w:val="00A22177"/>
    <w:rsid w:val="00A22F4B"/>
    <w:rsid w:val="00A2352B"/>
    <w:rsid w:val="00A23EBE"/>
    <w:rsid w:val="00A2411A"/>
    <w:rsid w:val="00A2434B"/>
    <w:rsid w:val="00A2470A"/>
    <w:rsid w:val="00A24D4D"/>
    <w:rsid w:val="00A24E28"/>
    <w:rsid w:val="00A25352"/>
    <w:rsid w:val="00A254F3"/>
    <w:rsid w:val="00A25555"/>
    <w:rsid w:val="00A2577C"/>
    <w:rsid w:val="00A25E1B"/>
    <w:rsid w:val="00A2605B"/>
    <w:rsid w:val="00A264B4"/>
    <w:rsid w:val="00A267D5"/>
    <w:rsid w:val="00A26F5E"/>
    <w:rsid w:val="00A27806"/>
    <w:rsid w:val="00A27FD2"/>
    <w:rsid w:val="00A3037D"/>
    <w:rsid w:val="00A30424"/>
    <w:rsid w:val="00A30566"/>
    <w:rsid w:val="00A30B72"/>
    <w:rsid w:val="00A30BBE"/>
    <w:rsid w:val="00A31046"/>
    <w:rsid w:val="00A31E76"/>
    <w:rsid w:val="00A323B9"/>
    <w:rsid w:val="00A323D9"/>
    <w:rsid w:val="00A328BC"/>
    <w:rsid w:val="00A32979"/>
    <w:rsid w:val="00A32C59"/>
    <w:rsid w:val="00A3302F"/>
    <w:rsid w:val="00A33C41"/>
    <w:rsid w:val="00A34792"/>
    <w:rsid w:val="00A34FE1"/>
    <w:rsid w:val="00A3547B"/>
    <w:rsid w:val="00A35DC7"/>
    <w:rsid w:val="00A37935"/>
    <w:rsid w:val="00A40105"/>
    <w:rsid w:val="00A404AF"/>
    <w:rsid w:val="00A40D0E"/>
    <w:rsid w:val="00A41819"/>
    <w:rsid w:val="00A41C0F"/>
    <w:rsid w:val="00A42E5D"/>
    <w:rsid w:val="00A430CB"/>
    <w:rsid w:val="00A43677"/>
    <w:rsid w:val="00A43CFD"/>
    <w:rsid w:val="00A44649"/>
    <w:rsid w:val="00A4478A"/>
    <w:rsid w:val="00A44852"/>
    <w:rsid w:val="00A4528D"/>
    <w:rsid w:val="00A454E0"/>
    <w:rsid w:val="00A45D36"/>
    <w:rsid w:val="00A46190"/>
    <w:rsid w:val="00A46B64"/>
    <w:rsid w:val="00A502E2"/>
    <w:rsid w:val="00A511BF"/>
    <w:rsid w:val="00A526E7"/>
    <w:rsid w:val="00A52B6D"/>
    <w:rsid w:val="00A52B9E"/>
    <w:rsid w:val="00A5320F"/>
    <w:rsid w:val="00A533C0"/>
    <w:rsid w:val="00A53EA1"/>
    <w:rsid w:val="00A5406C"/>
    <w:rsid w:val="00A5464A"/>
    <w:rsid w:val="00A54F9E"/>
    <w:rsid w:val="00A554B9"/>
    <w:rsid w:val="00A55BBA"/>
    <w:rsid w:val="00A56B71"/>
    <w:rsid w:val="00A56D95"/>
    <w:rsid w:val="00A56E76"/>
    <w:rsid w:val="00A576C1"/>
    <w:rsid w:val="00A57D04"/>
    <w:rsid w:val="00A602E7"/>
    <w:rsid w:val="00A609DB"/>
    <w:rsid w:val="00A60A26"/>
    <w:rsid w:val="00A60CE0"/>
    <w:rsid w:val="00A60D57"/>
    <w:rsid w:val="00A610C6"/>
    <w:rsid w:val="00A61598"/>
    <w:rsid w:val="00A61BB0"/>
    <w:rsid w:val="00A61E85"/>
    <w:rsid w:val="00A6228E"/>
    <w:rsid w:val="00A6267A"/>
    <w:rsid w:val="00A63AD5"/>
    <w:rsid w:val="00A63B50"/>
    <w:rsid w:val="00A641B4"/>
    <w:rsid w:val="00A643C5"/>
    <w:rsid w:val="00A647F1"/>
    <w:rsid w:val="00A65093"/>
    <w:rsid w:val="00A655F6"/>
    <w:rsid w:val="00A6686E"/>
    <w:rsid w:val="00A66B7F"/>
    <w:rsid w:val="00A670B6"/>
    <w:rsid w:val="00A675CC"/>
    <w:rsid w:val="00A7164D"/>
    <w:rsid w:val="00A71D37"/>
    <w:rsid w:val="00A72071"/>
    <w:rsid w:val="00A72A0F"/>
    <w:rsid w:val="00A72A89"/>
    <w:rsid w:val="00A72E58"/>
    <w:rsid w:val="00A743A8"/>
    <w:rsid w:val="00A748DD"/>
    <w:rsid w:val="00A756E0"/>
    <w:rsid w:val="00A75BC8"/>
    <w:rsid w:val="00A763BD"/>
    <w:rsid w:val="00A76BD5"/>
    <w:rsid w:val="00A809C5"/>
    <w:rsid w:val="00A8291D"/>
    <w:rsid w:val="00A82A50"/>
    <w:rsid w:val="00A83036"/>
    <w:rsid w:val="00A8328F"/>
    <w:rsid w:val="00A8330C"/>
    <w:rsid w:val="00A837A6"/>
    <w:rsid w:val="00A83B1A"/>
    <w:rsid w:val="00A84570"/>
    <w:rsid w:val="00A84CC1"/>
    <w:rsid w:val="00A84E1F"/>
    <w:rsid w:val="00A84EB8"/>
    <w:rsid w:val="00A84F46"/>
    <w:rsid w:val="00A850BA"/>
    <w:rsid w:val="00A854D2"/>
    <w:rsid w:val="00A85EE1"/>
    <w:rsid w:val="00A871F4"/>
    <w:rsid w:val="00A87B2F"/>
    <w:rsid w:val="00A90094"/>
    <w:rsid w:val="00A9055C"/>
    <w:rsid w:val="00A9070D"/>
    <w:rsid w:val="00A9072D"/>
    <w:rsid w:val="00A90F0E"/>
    <w:rsid w:val="00A914DA"/>
    <w:rsid w:val="00A91500"/>
    <w:rsid w:val="00A92A60"/>
    <w:rsid w:val="00A92EF6"/>
    <w:rsid w:val="00A93908"/>
    <w:rsid w:val="00A93C45"/>
    <w:rsid w:val="00A93D0C"/>
    <w:rsid w:val="00A94398"/>
    <w:rsid w:val="00A94809"/>
    <w:rsid w:val="00A9511F"/>
    <w:rsid w:val="00A95538"/>
    <w:rsid w:val="00A968B8"/>
    <w:rsid w:val="00A971B3"/>
    <w:rsid w:val="00A975AC"/>
    <w:rsid w:val="00A976C4"/>
    <w:rsid w:val="00A9782E"/>
    <w:rsid w:val="00A9789D"/>
    <w:rsid w:val="00A978AB"/>
    <w:rsid w:val="00A97A12"/>
    <w:rsid w:val="00AA08E4"/>
    <w:rsid w:val="00AA0A41"/>
    <w:rsid w:val="00AA0EE1"/>
    <w:rsid w:val="00AA119A"/>
    <w:rsid w:val="00AA1E41"/>
    <w:rsid w:val="00AA4D3B"/>
    <w:rsid w:val="00AA51EC"/>
    <w:rsid w:val="00AA528E"/>
    <w:rsid w:val="00AA54FA"/>
    <w:rsid w:val="00AB0F15"/>
    <w:rsid w:val="00AB1ABB"/>
    <w:rsid w:val="00AB1AF0"/>
    <w:rsid w:val="00AB2784"/>
    <w:rsid w:val="00AB2813"/>
    <w:rsid w:val="00AB2B22"/>
    <w:rsid w:val="00AB2C2E"/>
    <w:rsid w:val="00AB2C90"/>
    <w:rsid w:val="00AB2F41"/>
    <w:rsid w:val="00AB3026"/>
    <w:rsid w:val="00AB327F"/>
    <w:rsid w:val="00AB36BB"/>
    <w:rsid w:val="00AB4B3C"/>
    <w:rsid w:val="00AB4C23"/>
    <w:rsid w:val="00AB4CCB"/>
    <w:rsid w:val="00AB4E42"/>
    <w:rsid w:val="00AB4FED"/>
    <w:rsid w:val="00AB521D"/>
    <w:rsid w:val="00AB55DB"/>
    <w:rsid w:val="00AB560A"/>
    <w:rsid w:val="00AB5686"/>
    <w:rsid w:val="00AB573B"/>
    <w:rsid w:val="00AB59EA"/>
    <w:rsid w:val="00AB5FBA"/>
    <w:rsid w:val="00AB6120"/>
    <w:rsid w:val="00AB6796"/>
    <w:rsid w:val="00AB6873"/>
    <w:rsid w:val="00AB6B60"/>
    <w:rsid w:val="00AB6C8F"/>
    <w:rsid w:val="00AB70FD"/>
    <w:rsid w:val="00AB7540"/>
    <w:rsid w:val="00AC0015"/>
    <w:rsid w:val="00AC0346"/>
    <w:rsid w:val="00AC09ED"/>
    <w:rsid w:val="00AC0BCB"/>
    <w:rsid w:val="00AC0D23"/>
    <w:rsid w:val="00AC0D9C"/>
    <w:rsid w:val="00AC10A8"/>
    <w:rsid w:val="00AC1B2C"/>
    <w:rsid w:val="00AC1B92"/>
    <w:rsid w:val="00AC1F18"/>
    <w:rsid w:val="00AC25D7"/>
    <w:rsid w:val="00AC2AB9"/>
    <w:rsid w:val="00AC2DF1"/>
    <w:rsid w:val="00AC2EF0"/>
    <w:rsid w:val="00AC2EFA"/>
    <w:rsid w:val="00AC2FFC"/>
    <w:rsid w:val="00AC31FA"/>
    <w:rsid w:val="00AC3264"/>
    <w:rsid w:val="00AC3281"/>
    <w:rsid w:val="00AC3DAA"/>
    <w:rsid w:val="00AC3E35"/>
    <w:rsid w:val="00AC3F90"/>
    <w:rsid w:val="00AC4017"/>
    <w:rsid w:val="00AC43E5"/>
    <w:rsid w:val="00AC48ED"/>
    <w:rsid w:val="00AC4B1E"/>
    <w:rsid w:val="00AC4E17"/>
    <w:rsid w:val="00AC5389"/>
    <w:rsid w:val="00AC6657"/>
    <w:rsid w:val="00AC674B"/>
    <w:rsid w:val="00AC6F01"/>
    <w:rsid w:val="00AC730A"/>
    <w:rsid w:val="00AC744A"/>
    <w:rsid w:val="00AC7883"/>
    <w:rsid w:val="00AC78AA"/>
    <w:rsid w:val="00AD047C"/>
    <w:rsid w:val="00AD05E9"/>
    <w:rsid w:val="00AD07FE"/>
    <w:rsid w:val="00AD18E3"/>
    <w:rsid w:val="00AD2D3E"/>
    <w:rsid w:val="00AD2F3D"/>
    <w:rsid w:val="00AD30D3"/>
    <w:rsid w:val="00AD36E6"/>
    <w:rsid w:val="00AD3C7D"/>
    <w:rsid w:val="00AD3E96"/>
    <w:rsid w:val="00AD41C3"/>
    <w:rsid w:val="00AD4268"/>
    <w:rsid w:val="00AD489B"/>
    <w:rsid w:val="00AD522C"/>
    <w:rsid w:val="00AD5B69"/>
    <w:rsid w:val="00AD66B1"/>
    <w:rsid w:val="00AD6B3B"/>
    <w:rsid w:val="00AD79F1"/>
    <w:rsid w:val="00AD7A07"/>
    <w:rsid w:val="00AE0106"/>
    <w:rsid w:val="00AE0550"/>
    <w:rsid w:val="00AE0591"/>
    <w:rsid w:val="00AE09FC"/>
    <w:rsid w:val="00AE0DAD"/>
    <w:rsid w:val="00AE0FE2"/>
    <w:rsid w:val="00AE1B30"/>
    <w:rsid w:val="00AE1BF1"/>
    <w:rsid w:val="00AE1E32"/>
    <w:rsid w:val="00AE1FDA"/>
    <w:rsid w:val="00AE258A"/>
    <w:rsid w:val="00AE2887"/>
    <w:rsid w:val="00AE2D9E"/>
    <w:rsid w:val="00AE3106"/>
    <w:rsid w:val="00AE32F4"/>
    <w:rsid w:val="00AE33E5"/>
    <w:rsid w:val="00AE34E7"/>
    <w:rsid w:val="00AE3F05"/>
    <w:rsid w:val="00AE4039"/>
    <w:rsid w:val="00AE5098"/>
    <w:rsid w:val="00AE510B"/>
    <w:rsid w:val="00AF0DD2"/>
    <w:rsid w:val="00AF11B9"/>
    <w:rsid w:val="00AF18F9"/>
    <w:rsid w:val="00AF21BC"/>
    <w:rsid w:val="00AF2621"/>
    <w:rsid w:val="00AF28DD"/>
    <w:rsid w:val="00AF2B19"/>
    <w:rsid w:val="00AF3177"/>
    <w:rsid w:val="00AF42DC"/>
    <w:rsid w:val="00AF4B53"/>
    <w:rsid w:val="00AF4C43"/>
    <w:rsid w:val="00AF4FE3"/>
    <w:rsid w:val="00AF5231"/>
    <w:rsid w:val="00AF52AF"/>
    <w:rsid w:val="00AF55E8"/>
    <w:rsid w:val="00AF564D"/>
    <w:rsid w:val="00AF593D"/>
    <w:rsid w:val="00AF6066"/>
    <w:rsid w:val="00AF6193"/>
    <w:rsid w:val="00AF6991"/>
    <w:rsid w:val="00AF6E04"/>
    <w:rsid w:val="00AF70A6"/>
    <w:rsid w:val="00AF77BE"/>
    <w:rsid w:val="00B00373"/>
    <w:rsid w:val="00B00A62"/>
    <w:rsid w:val="00B00D65"/>
    <w:rsid w:val="00B0196D"/>
    <w:rsid w:val="00B0366B"/>
    <w:rsid w:val="00B04F70"/>
    <w:rsid w:val="00B056B5"/>
    <w:rsid w:val="00B06679"/>
    <w:rsid w:val="00B06B2C"/>
    <w:rsid w:val="00B06C51"/>
    <w:rsid w:val="00B06DA2"/>
    <w:rsid w:val="00B06FBD"/>
    <w:rsid w:val="00B076D8"/>
    <w:rsid w:val="00B07DC5"/>
    <w:rsid w:val="00B10314"/>
    <w:rsid w:val="00B10695"/>
    <w:rsid w:val="00B1091F"/>
    <w:rsid w:val="00B10A20"/>
    <w:rsid w:val="00B111F9"/>
    <w:rsid w:val="00B119D2"/>
    <w:rsid w:val="00B12857"/>
    <w:rsid w:val="00B13048"/>
    <w:rsid w:val="00B13507"/>
    <w:rsid w:val="00B14F04"/>
    <w:rsid w:val="00B15998"/>
    <w:rsid w:val="00B167D1"/>
    <w:rsid w:val="00B1716D"/>
    <w:rsid w:val="00B178F5"/>
    <w:rsid w:val="00B17A1D"/>
    <w:rsid w:val="00B17B32"/>
    <w:rsid w:val="00B17BC5"/>
    <w:rsid w:val="00B20379"/>
    <w:rsid w:val="00B206A0"/>
    <w:rsid w:val="00B2075A"/>
    <w:rsid w:val="00B207A0"/>
    <w:rsid w:val="00B21DE7"/>
    <w:rsid w:val="00B220FA"/>
    <w:rsid w:val="00B22A7A"/>
    <w:rsid w:val="00B238AC"/>
    <w:rsid w:val="00B247B4"/>
    <w:rsid w:val="00B24A60"/>
    <w:rsid w:val="00B24BE2"/>
    <w:rsid w:val="00B24D4D"/>
    <w:rsid w:val="00B24F9E"/>
    <w:rsid w:val="00B25136"/>
    <w:rsid w:val="00B25A48"/>
    <w:rsid w:val="00B25F71"/>
    <w:rsid w:val="00B2644E"/>
    <w:rsid w:val="00B27172"/>
    <w:rsid w:val="00B27BF0"/>
    <w:rsid w:val="00B27C79"/>
    <w:rsid w:val="00B27FD8"/>
    <w:rsid w:val="00B30267"/>
    <w:rsid w:val="00B307F4"/>
    <w:rsid w:val="00B30834"/>
    <w:rsid w:val="00B309F0"/>
    <w:rsid w:val="00B322CC"/>
    <w:rsid w:val="00B32C26"/>
    <w:rsid w:val="00B32F73"/>
    <w:rsid w:val="00B33063"/>
    <w:rsid w:val="00B333BB"/>
    <w:rsid w:val="00B3362F"/>
    <w:rsid w:val="00B33A17"/>
    <w:rsid w:val="00B340D1"/>
    <w:rsid w:val="00B34108"/>
    <w:rsid w:val="00B34116"/>
    <w:rsid w:val="00B35495"/>
    <w:rsid w:val="00B358E1"/>
    <w:rsid w:val="00B35F54"/>
    <w:rsid w:val="00B361E6"/>
    <w:rsid w:val="00B36416"/>
    <w:rsid w:val="00B36E00"/>
    <w:rsid w:val="00B36F33"/>
    <w:rsid w:val="00B370CE"/>
    <w:rsid w:val="00B3717B"/>
    <w:rsid w:val="00B3753D"/>
    <w:rsid w:val="00B375B3"/>
    <w:rsid w:val="00B37D31"/>
    <w:rsid w:val="00B40556"/>
    <w:rsid w:val="00B406A7"/>
    <w:rsid w:val="00B40A21"/>
    <w:rsid w:val="00B40B82"/>
    <w:rsid w:val="00B40BFD"/>
    <w:rsid w:val="00B410A6"/>
    <w:rsid w:val="00B412E3"/>
    <w:rsid w:val="00B414C2"/>
    <w:rsid w:val="00B41542"/>
    <w:rsid w:val="00B419BF"/>
    <w:rsid w:val="00B4204A"/>
    <w:rsid w:val="00B42C90"/>
    <w:rsid w:val="00B42CAD"/>
    <w:rsid w:val="00B42FA7"/>
    <w:rsid w:val="00B437B3"/>
    <w:rsid w:val="00B4381F"/>
    <w:rsid w:val="00B4472A"/>
    <w:rsid w:val="00B44CAB"/>
    <w:rsid w:val="00B44D23"/>
    <w:rsid w:val="00B4535F"/>
    <w:rsid w:val="00B45441"/>
    <w:rsid w:val="00B4584B"/>
    <w:rsid w:val="00B459BE"/>
    <w:rsid w:val="00B45A66"/>
    <w:rsid w:val="00B45A80"/>
    <w:rsid w:val="00B46102"/>
    <w:rsid w:val="00B461D1"/>
    <w:rsid w:val="00B46961"/>
    <w:rsid w:val="00B46D2B"/>
    <w:rsid w:val="00B476E8"/>
    <w:rsid w:val="00B47A25"/>
    <w:rsid w:val="00B47DBD"/>
    <w:rsid w:val="00B503F2"/>
    <w:rsid w:val="00B508D4"/>
    <w:rsid w:val="00B50BA7"/>
    <w:rsid w:val="00B51285"/>
    <w:rsid w:val="00B513E6"/>
    <w:rsid w:val="00B516F5"/>
    <w:rsid w:val="00B518C1"/>
    <w:rsid w:val="00B5263F"/>
    <w:rsid w:val="00B52934"/>
    <w:rsid w:val="00B52F25"/>
    <w:rsid w:val="00B53DFE"/>
    <w:rsid w:val="00B5429F"/>
    <w:rsid w:val="00B548DA"/>
    <w:rsid w:val="00B54A43"/>
    <w:rsid w:val="00B54F1A"/>
    <w:rsid w:val="00B5521D"/>
    <w:rsid w:val="00B55AF1"/>
    <w:rsid w:val="00B5630C"/>
    <w:rsid w:val="00B56E03"/>
    <w:rsid w:val="00B5721D"/>
    <w:rsid w:val="00B577F6"/>
    <w:rsid w:val="00B600A8"/>
    <w:rsid w:val="00B60541"/>
    <w:rsid w:val="00B6057A"/>
    <w:rsid w:val="00B60592"/>
    <w:rsid w:val="00B608CC"/>
    <w:rsid w:val="00B60B81"/>
    <w:rsid w:val="00B60E12"/>
    <w:rsid w:val="00B60F5D"/>
    <w:rsid w:val="00B61DA3"/>
    <w:rsid w:val="00B62438"/>
    <w:rsid w:val="00B62A25"/>
    <w:rsid w:val="00B62FE2"/>
    <w:rsid w:val="00B64023"/>
    <w:rsid w:val="00B64318"/>
    <w:rsid w:val="00B64D01"/>
    <w:rsid w:val="00B64F3F"/>
    <w:rsid w:val="00B64FB0"/>
    <w:rsid w:val="00B654EC"/>
    <w:rsid w:val="00B65888"/>
    <w:rsid w:val="00B65C56"/>
    <w:rsid w:val="00B665A0"/>
    <w:rsid w:val="00B6692C"/>
    <w:rsid w:val="00B66F0F"/>
    <w:rsid w:val="00B66F23"/>
    <w:rsid w:val="00B66F74"/>
    <w:rsid w:val="00B67504"/>
    <w:rsid w:val="00B67856"/>
    <w:rsid w:val="00B67E91"/>
    <w:rsid w:val="00B708A1"/>
    <w:rsid w:val="00B708BA"/>
    <w:rsid w:val="00B70E79"/>
    <w:rsid w:val="00B70FC6"/>
    <w:rsid w:val="00B71484"/>
    <w:rsid w:val="00B71919"/>
    <w:rsid w:val="00B71C7E"/>
    <w:rsid w:val="00B72147"/>
    <w:rsid w:val="00B724D4"/>
    <w:rsid w:val="00B7283E"/>
    <w:rsid w:val="00B73AF3"/>
    <w:rsid w:val="00B740AF"/>
    <w:rsid w:val="00B7431A"/>
    <w:rsid w:val="00B74748"/>
    <w:rsid w:val="00B75282"/>
    <w:rsid w:val="00B75C1E"/>
    <w:rsid w:val="00B766C2"/>
    <w:rsid w:val="00B769BA"/>
    <w:rsid w:val="00B76A46"/>
    <w:rsid w:val="00B76FEE"/>
    <w:rsid w:val="00B77033"/>
    <w:rsid w:val="00B773C7"/>
    <w:rsid w:val="00B7792F"/>
    <w:rsid w:val="00B77A37"/>
    <w:rsid w:val="00B8009B"/>
    <w:rsid w:val="00B802EC"/>
    <w:rsid w:val="00B80693"/>
    <w:rsid w:val="00B8080B"/>
    <w:rsid w:val="00B8170F"/>
    <w:rsid w:val="00B81EBC"/>
    <w:rsid w:val="00B825C4"/>
    <w:rsid w:val="00B82D2F"/>
    <w:rsid w:val="00B83165"/>
    <w:rsid w:val="00B831CB"/>
    <w:rsid w:val="00B832E7"/>
    <w:rsid w:val="00B836D7"/>
    <w:rsid w:val="00B83A6E"/>
    <w:rsid w:val="00B83AE6"/>
    <w:rsid w:val="00B84022"/>
    <w:rsid w:val="00B846BA"/>
    <w:rsid w:val="00B84A97"/>
    <w:rsid w:val="00B87364"/>
    <w:rsid w:val="00B87C39"/>
    <w:rsid w:val="00B87EFE"/>
    <w:rsid w:val="00B90AF9"/>
    <w:rsid w:val="00B91572"/>
    <w:rsid w:val="00B917BC"/>
    <w:rsid w:val="00B9184D"/>
    <w:rsid w:val="00B91BB4"/>
    <w:rsid w:val="00B922D5"/>
    <w:rsid w:val="00B9443D"/>
    <w:rsid w:val="00B94E97"/>
    <w:rsid w:val="00B9545C"/>
    <w:rsid w:val="00B960A1"/>
    <w:rsid w:val="00B96862"/>
    <w:rsid w:val="00B978A4"/>
    <w:rsid w:val="00B97D09"/>
    <w:rsid w:val="00BA0788"/>
    <w:rsid w:val="00BA0A17"/>
    <w:rsid w:val="00BA16C7"/>
    <w:rsid w:val="00BA1A58"/>
    <w:rsid w:val="00BA3AF2"/>
    <w:rsid w:val="00BA3B25"/>
    <w:rsid w:val="00BA3C43"/>
    <w:rsid w:val="00BA4665"/>
    <w:rsid w:val="00BA46A5"/>
    <w:rsid w:val="00BA4718"/>
    <w:rsid w:val="00BA4A7F"/>
    <w:rsid w:val="00BA5A7B"/>
    <w:rsid w:val="00BA6743"/>
    <w:rsid w:val="00BA6A00"/>
    <w:rsid w:val="00BA6A51"/>
    <w:rsid w:val="00BA6CF3"/>
    <w:rsid w:val="00BA6D10"/>
    <w:rsid w:val="00BA72DE"/>
    <w:rsid w:val="00BA7A3F"/>
    <w:rsid w:val="00BA7D04"/>
    <w:rsid w:val="00BB0443"/>
    <w:rsid w:val="00BB0671"/>
    <w:rsid w:val="00BB0797"/>
    <w:rsid w:val="00BB0AA8"/>
    <w:rsid w:val="00BB1433"/>
    <w:rsid w:val="00BB16FF"/>
    <w:rsid w:val="00BB22B2"/>
    <w:rsid w:val="00BB2B01"/>
    <w:rsid w:val="00BB2F74"/>
    <w:rsid w:val="00BB2FB2"/>
    <w:rsid w:val="00BB3304"/>
    <w:rsid w:val="00BB3A83"/>
    <w:rsid w:val="00BB3B40"/>
    <w:rsid w:val="00BB42EB"/>
    <w:rsid w:val="00BB4551"/>
    <w:rsid w:val="00BB4B36"/>
    <w:rsid w:val="00BB4E99"/>
    <w:rsid w:val="00BB536A"/>
    <w:rsid w:val="00BB6229"/>
    <w:rsid w:val="00BB63E0"/>
    <w:rsid w:val="00BB6E42"/>
    <w:rsid w:val="00BC009B"/>
    <w:rsid w:val="00BC0374"/>
    <w:rsid w:val="00BC0FF1"/>
    <w:rsid w:val="00BC1D21"/>
    <w:rsid w:val="00BC215E"/>
    <w:rsid w:val="00BC2333"/>
    <w:rsid w:val="00BC24C1"/>
    <w:rsid w:val="00BC3495"/>
    <w:rsid w:val="00BC378E"/>
    <w:rsid w:val="00BC4712"/>
    <w:rsid w:val="00BC49CB"/>
    <w:rsid w:val="00BC4CBE"/>
    <w:rsid w:val="00BC50EA"/>
    <w:rsid w:val="00BC54FA"/>
    <w:rsid w:val="00BC633E"/>
    <w:rsid w:val="00BC6FE9"/>
    <w:rsid w:val="00BD0195"/>
    <w:rsid w:val="00BD01A8"/>
    <w:rsid w:val="00BD0BE3"/>
    <w:rsid w:val="00BD0D19"/>
    <w:rsid w:val="00BD19E0"/>
    <w:rsid w:val="00BD1E0F"/>
    <w:rsid w:val="00BD2360"/>
    <w:rsid w:val="00BD2CF2"/>
    <w:rsid w:val="00BD3446"/>
    <w:rsid w:val="00BD3E86"/>
    <w:rsid w:val="00BD417C"/>
    <w:rsid w:val="00BD49BE"/>
    <w:rsid w:val="00BD5A0D"/>
    <w:rsid w:val="00BD5E1F"/>
    <w:rsid w:val="00BD5F7A"/>
    <w:rsid w:val="00BD62D6"/>
    <w:rsid w:val="00BD7724"/>
    <w:rsid w:val="00BD789F"/>
    <w:rsid w:val="00BD7A3C"/>
    <w:rsid w:val="00BE0328"/>
    <w:rsid w:val="00BE1353"/>
    <w:rsid w:val="00BE1B84"/>
    <w:rsid w:val="00BE1F1B"/>
    <w:rsid w:val="00BE2A87"/>
    <w:rsid w:val="00BE3006"/>
    <w:rsid w:val="00BE315A"/>
    <w:rsid w:val="00BE32AB"/>
    <w:rsid w:val="00BE4600"/>
    <w:rsid w:val="00BE47B5"/>
    <w:rsid w:val="00BE4C99"/>
    <w:rsid w:val="00BE4CD9"/>
    <w:rsid w:val="00BE58F2"/>
    <w:rsid w:val="00BE5F3C"/>
    <w:rsid w:val="00BE66B7"/>
    <w:rsid w:val="00BE6C7D"/>
    <w:rsid w:val="00BE7AC9"/>
    <w:rsid w:val="00BF02D5"/>
    <w:rsid w:val="00BF067B"/>
    <w:rsid w:val="00BF0D53"/>
    <w:rsid w:val="00BF0FB0"/>
    <w:rsid w:val="00BF1029"/>
    <w:rsid w:val="00BF1121"/>
    <w:rsid w:val="00BF138F"/>
    <w:rsid w:val="00BF1688"/>
    <w:rsid w:val="00BF1B59"/>
    <w:rsid w:val="00BF1E59"/>
    <w:rsid w:val="00BF1F40"/>
    <w:rsid w:val="00BF2190"/>
    <w:rsid w:val="00BF2FB3"/>
    <w:rsid w:val="00BF3243"/>
    <w:rsid w:val="00BF375A"/>
    <w:rsid w:val="00BF478F"/>
    <w:rsid w:val="00BF5809"/>
    <w:rsid w:val="00BF6856"/>
    <w:rsid w:val="00BF68BE"/>
    <w:rsid w:val="00BF73C0"/>
    <w:rsid w:val="00BF7714"/>
    <w:rsid w:val="00BF79A1"/>
    <w:rsid w:val="00BF79DA"/>
    <w:rsid w:val="00BF7EAA"/>
    <w:rsid w:val="00C0025D"/>
    <w:rsid w:val="00C01B4D"/>
    <w:rsid w:val="00C020D5"/>
    <w:rsid w:val="00C02179"/>
    <w:rsid w:val="00C026FE"/>
    <w:rsid w:val="00C02CE9"/>
    <w:rsid w:val="00C02F38"/>
    <w:rsid w:val="00C033AE"/>
    <w:rsid w:val="00C037F6"/>
    <w:rsid w:val="00C03ABC"/>
    <w:rsid w:val="00C03CF6"/>
    <w:rsid w:val="00C03F44"/>
    <w:rsid w:val="00C040D1"/>
    <w:rsid w:val="00C04641"/>
    <w:rsid w:val="00C04ACA"/>
    <w:rsid w:val="00C054F5"/>
    <w:rsid w:val="00C058AB"/>
    <w:rsid w:val="00C05A0F"/>
    <w:rsid w:val="00C06286"/>
    <w:rsid w:val="00C0657D"/>
    <w:rsid w:val="00C06739"/>
    <w:rsid w:val="00C06D21"/>
    <w:rsid w:val="00C07034"/>
    <w:rsid w:val="00C07A33"/>
    <w:rsid w:val="00C07B7F"/>
    <w:rsid w:val="00C10FA8"/>
    <w:rsid w:val="00C1120A"/>
    <w:rsid w:val="00C11973"/>
    <w:rsid w:val="00C1269F"/>
    <w:rsid w:val="00C12CE2"/>
    <w:rsid w:val="00C12E75"/>
    <w:rsid w:val="00C12ECC"/>
    <w:rsid w:val="00C13835"/>
    <w:rsid w:val="00C13D83"/>
    <w:rsid w:val="00C14B18"/>
    <w:rsid w:val="00C14DA8"/>
    <w:rsid w:val="00C151AB"/>
    <w:rsid w:val="00C155B1"/>
    <w:rsid w:val="00C1595E"/>
    <w:rsid w:val="00C16BED"/>
    <w:rsid w:val="00C16E4C"/>
    <w:rsid w:val="00C17B91"/>
    <w:rsid w:val="00C204A4"/>
    <w:rsid w:val="00C2055C"/>
    <w:rsid w:val="00C206CF"/>
    <w:rsid w:val="00C209B8"/>
    <w:rsid w:val="00C22130"/>
    <w:rsid w:val="00C22685"/>
    <w:rsid w:val="00C22885"/>
    <w:rsid w:val="00C22B52"/>
    <w:rsid w:val="00C236CF"/>
    <w:rsid w:val="00C24646"/>
    <w:rsid w:val="00C24975"/>
    <w:rsid w:val="00C25B5A"/>
    <w:rsid w:val="00C25BDB"/>
    <w:rsid w:val="00C25EBF"/>
    <w:rsid w:val="00C269C6"/>
    <w:rsid w:val="00C26F24"/>
    <w:rsid w:val="00C26FE5"/>
    <w:rsid w:val="00C27015"/>
    <w:rsid w:val="00C274D7"/>
    <w:rsid w:val="00C30A8C"/>
    <w:rsid w:val="00C31213"/>
    <w:rsid w:val="00C31486"/>
    <w:rsid w:val="00C31981"/>
    <w:rsid w:val="00C32253"/>
    <w:rsid w:val="00C323AC"/>
    <w:rsid w:val="00C32AD7"/>
    <w:rsid w:val="00C32FD9"/>
    <w:rsid w:val="00C339C7"/>
    <w:rsid w:val="00C33F2B"/>
    <w:rsid w:val="00C33FC3"/>
    <w:rsid w:val="00C3441B"/>
    <w:rsid w:val="00C346BD"/>
    <w:rsid w:val="00C35184"/>
    <w:rsid w:val="00C360AD"/>
    <w:rsid w:val="00C361A8"/>
    <w:rsid w:val="00C3667A"/>
    <w:rsid w:val="00C371FD"/>
    <w:rsid w:val="00C378F8"/>
    <w:rsid w:val="00C37E00"/>
    <w:rsid w:val="00C41072"/>
    <w:rsid w:val="00C41244"/>
    <w:rsid w:val="00C41382"/>
    <w:rsid w:val="00C416B8"/>
    <w:rsid w:val="00C41975"/>
    <w:rsid w:val="00C41CBC"/>
    <w:rsid w:val="00C4225D"/>
    <w:rsid w:val="00C42797"/>
    <w:rsid w:val="00C4355B"/>
    <w:rsid w:val="00C43723"/>
    <w:rsid w:val="00C43DB2"/>
    <w:rsid w:val="00C43F47"/>
    <w:rsid w:val="00C4427D"/>
    <w:rsid w:val="00C44411"/>
    <w:rsid w:val="00C447CE"/>
    <w:rsid w:val="00C44FE3"/>
    <w:rsid w:val="00C451CA"/>
    <w:rsid w:val="00C452D1"/>
    <w:rsid w:val="00C45FD3"/>
    <w:rsid w:val="00C4603F"/>
    <w:rsid w:val="00C4658A"/>
    <w:rsid w:val="00C46757"/>
    <w:rsid w:val="00C46920"/>
    <w:rsid w:val="00C46D6C"/>
    <w:rsid w:val="00C46DED"/>
    <w:rsid w:val="00C46E41"/>
    <w:rsid w:val="00C46E9F"/>
    <w:rsid w:val="00C47450"/>
    <w:rsid w:val="00C5025F"/>
    <w:rsid w:val="00C50300"/>
    <w:rsid w:val="00C505DA"/>
    <w:rsid w:val="00C50F34"/>
    <w:rsid w:val="00C5114D"/>
    <w:rsid w:val="00C5116E"/>
    <w:rsid w:val="00C513B3"/>
    <w:rsid w:val="00C51557"/>
    <w:rsid w:val="00C515A4"/>
    <w:rsid w:val="00C52BD7"/>
    <w:rsid w:val="00C530F4"/>
    <w:rsid w:val="00C534E6"/>
    <w:rsid w:val="00C53806"/>
    <w:rsid w:val="00C538A9"/>
    <w:rsid w:val="00C53AD8"/>
    <w:rsid w:val="00C53B5A"/>
    <w:rsid w:val="00C53CFF"/>
    <w:rsid w:val="00C54B5B"/>
    <w:rsid w:val="00C54DDA"/>
    <w:rsid w:val="00C54E2F"/>
    <w:rsid w:val="00C54F5A"/>
    <w:rsid w:val="00C55550"/>
    <w:rsid w:val="00C5596C"/>
    <w:rsid w:val="00C55C6B"/>
    <w:rsid w:val="00C55CD6"/>
    <w:rsid w:val="00C55DAE"/>
    <w:rsid w:val="00C563F2"/>
    <w:rsid w:val="00C56408"/>
    <w:rsid w:val="00C568F8"/>
    <w:rsid w:val="00C56988"/>
    <w:rsid w:val="00C56AFC"/>
    <w:rsid w:val="00C56DD0"/>
    <w:rsid w:val="00C57666"/>
    <w:rsid w:val="00C578AB"/>
    <w:rsid w:val="00C57BCC"/>
    <w:rsid w:val="00C57C51"/>
    <w:rsid w:val="00C60794"/>
    <w:rsid w:val="00C61328"/>
    <w:rsid w:val="00C62ACF"/>
    <w:rsid w:val="00C62B11"/>
    <w:rsid w:val="00C62DBD"/>
    <w:rsid w:val="00C62FB7"/>
    <w:rsid w:val="00C630F2"/>
    <w:rsid w:val="00C635BD"/>
    <w:rsid w:val="00C637EA"/>
    <w:rsid w:val="00C65607"/>
    <w:rsid w:val="00C66BA0"/>
    <w:rsid w:val="00C66EA1"/>
    <w:rsid w:val="00C670D3"/>
    <w:rsid w:val="00C6769F"/>
    <w:rsid w:val="00C67AB2"/>
    <w:rsid w:val="00C67AD8"/>
    <w:rsid w:val="00C67D32"/>
    <w:rsid w:val="00C714C1"/>
    <w:rsid w:val="00C71558"/>
    <w:rsid w:val="00C71CBE"/>
    <w:rsid w:val="00C71D41"/>
    <w:rsid w:val="00C71DF9"/>
    <w:rsid w:val="00C72128"/>
    <w:rsid w:val="00C723AB"/>
    <w:rsid w:val="00C72CAA"/>
    <w:rsid w:val="00C73458"/>
    <w:rsid w:val="00C73F59"/>
    <w:rsid w:val="00C74024"/>
    <w:rsid w:val="00C749A8"/>
    <w:rsid w:val="00C755AD"/>
    <w:rsid w:val="00C75820"/>
    <w:rsid w:val="00C758D0"/>
    <w:rsid w:val="00C75A21"/>
    <w:rsid w:val="00C75E6B"/>
    <w:rsid w:val="00C770DF"/>
    <w:rsid w:val="00C80E16"/>
    <w:rsid w:val="00C8129E"/>
    <w:rsid w:val="00C825AE"/>
    <w:rsid w:val="00C82760"/>
    <w:rsid w:val="00C82A71"/>
    <w:rsid w:val="00C832EC"/>
    <w:rsid w:val="00C84213"/>
    <w:rsid w:val="00C84217"/>
    <w:rsid w:val="00C84526"/>
    <w:rsid w:val="00C85430"/>
    <w:rsid w:val="00C8543D"/>
    <w:rsid w:val="00C855B1"/>
    <w:rsid w:val="00C86349"/>
    <w:rsid w:val="00C86679"/>
    <w:rsid w:val="00C879F4"/>
    <w:rsid w:val="00C87DCF"/>
    <w:rsid w:val="00C901F9"/>
    <w:rsid w:val="00C90D67"/>
    <w:rsid w:val="00C91627"/>
    <w:rsid w:val="00C91A69"/>
    <w:rsid w:val="00C91B93"/>
    <w:rsid w:val="00C920DA"/>
    <w:rsid w:val="00C9218B"/>
    <w:rsid w:val="00C9339C"/>
    <w:rsid w:val="00C93DC3"/>
    <w:rsid w:val="00C93E02"/>
    <w:rsid w:val="00C93F9D"/>
    <w:rsid w:val="00C94308"/>
    <w:rsid w:val="00C94F70"/>
    <w:rsid w:val="00C95638"/>
    <w:rsid w:val="00C95975"/>
    <w:rsid w:val="00C95E42"/>
    <w:rsid w:val="00C95EDD"/>
    <w:rsid w:val="00C96381"/>
    <w:rsid w:val="00C970B1"/>
    <w:rsid w:val="00C9779F"/>
    <w:rsid w:val="00C97CB6"/>
    <w:rsid w:val="00CA0C36"/>
    <w:rsid w:val="00CA1149"/>
    <w:rsid w:val="00CA1A5F"/>
    <w:rsid w:val="00CA2771"/>
    <w:rsid w:val="00CA29A6"/>
    <w:rsid w:val="00CA2F0E"/>
    <w:rsid w:val="00CA2FFB"/>
    <w:rsid w:val="00CA3493"/>
    <w:rsid w:val="00CA3720"/>
    <w:rsid w:val="00CA40BF"/>
    <w:rsid w:val="00CA5186"/>
    <w:rsid w:val="00CA5240"/>
    <w:rsid w:val="00CA5AB4"/>
    <w:rsid w:val="00CA65D6"/>
    <w:rsid w:val="00CA7B60"/>
    <w:rsid w:val="00CA7CAF"/>
    <w:rsid w:val="00CA7EAF"/>
    <w:rsid w:val="00CB08D3"/>
    <w:rsid w:val="00CB0C10"/>
    <w:rsid w:val="00CB10F4"/>
    <w:rsid w:val="00CB17C5"/>
    <w:rsid w:val="00CB1845"/>
    <w:rsid w:val="00CB214F"/>
    <w:rsid w:val="00CB23A2"/>
    <w:rsid w:val="00CB284F"/>
    <w:rsid w:val="00CB323D"/>
    <w:rsid w:val="00CB364E"/>
    <w:rsid w:val="00CB491D"/>
    <w:rsid w:val="00CB4A06"/>
    <w:rsid w:val="00CB4C7F"/>
    <w:rsid w:val="00CB4F21"/>
    <w:rsid w:val="00CB50EE"/>
    <w:rsid w:val="00CB5686"/>
    <w:rsid w:val="00CB602D"/>
    <w:rsid w:val="00CB666B"/>
    <w:rsid w:val="00CB77ED"/>
    <w:rsid w:val="00CB7A6E"/>
    <w:rsid w:val="00CC0CB2"/>
    <w:rsid w:val="00CC10D8"/>
    <w:rsid w:val="00CC212E"/>
    <w:rsid w:val="00CC28DB"/>
    <w:rsid w:val="00CC2C10"/>
    <w:rsid w:val="00CC2D6C"/>
    <w:rsid w:val="00CC2F52"/>
    <w:rsid w:val="00CC31F2"/>
    <w:rsid w:val="00CC3769"/>
    <w:rsid w:val="00CC387A"/>
    <w:rsid w:val="00CC39EB"/>
    <w:rsid w:val="00CC42D0"/>
    <w:rsid w:val="00CC4A3F"/>
    <w:rsid w:val="00CC4D26"/>
    <w:rsid w:val="00CC4E7D"/>
    <w:rsid w:val="00CC512F"/>
    <w:rsid w:val="00CC52D5"/>
    <w:rsid w:val="00CC542E"/>
    <w:rsid w:val="00CC54A8"/>
    <w:rsid w:val="00CC5999"/>
    <w:rsid w:val="00CC5EF3"/>
    <w:rsid w:val="00CC63F5"/>
    <w:rsid w:val="00CC653A"/>
    <w:rsid w:val="00CC6597"/>
    <w:rsid w:val="00CC689E"/>
    <w:rsid w:val="00CC7A13"/>
    <w:rsid w:val="00CD11FD"/>
    <w:rsid w:val="00CD161A"/>
    <w:rsid w:val="00CD19F5"/>
    <w:rsid w:val="00CD1C29"/>
    <w:rsid w:val="00CD1C66"/>
    <w:rsid w:val="00CD1C97"/>
    <w:rsid w:val="00CD1CB6"/>
    <w:rsid w:val="00CD1D39"/>
    <w:rsid w:val="00CD2731"/>
    <w:rsid w:val="00CD3094"/>
    <w:rsid w:val="00CD35C0"/>
    <w:rsid w:val="00CD419B"/>
    <w:rsid w:val="00CD436C"/>
    <w:rsid w:val="00CD4370"/>
    <w:rsid w:val="00CD4758"/>
    <w:rsid w:val="00CD4817"/>
    <w:rsid w:val="00CD503E"/>
    <w:rsid w:val="00CD6028"/>
    <w:rsid w:val="00CD68DD"/>
    <w:rsid w:val="00CD70FC"/>
    <w:rsid w:val="00CD722F"/>
    <w:rsid w:val="00CD73BB"/>
    <w:rsid w:val="00CD7574"/>
    <w:rsid w:val="00CE02CD"/>
    <w:rsid w:val="00CE04A9"/>
    <w:rsid w:val="00CE0C71"/>
    <w:rsid w:val="00CE10A3"/>
    <w:rsid w:val="00CE1758"/>
    <w:rsid w:val="00CE1FF0"/>
    <w:rsid w:val="00CE2488"/>
    <w:rsid w:val="00CE2707"/>
    <w:rsid w:val="00CE2C40"/>
    <w:rsid w:val="00CE30D6"/>
    <w:rsid w:val="00CE3633"/>
    <w:rsid w:val="00CE3687"/>
    <w:rsid w:val="00CE58BC"/>
    <w:rsid w:val="00CE5AF6"/>
    <w:rsid w:val="00CE5D02"/>
    <w:rsid w:val="00CE5D7E"/>
    <w:rsid w:val="00CE6499"/>
    <w:rsid w:val="00CE64AA"/>
    <w:rsid w:val="00CE6715"/>
    <w:rsid w:val="00CE6E29"/>
    <w:rsid w:val="00CE70A0"/>
    <w:rsid w:val="00CE7B70"/>
    <w:rsid w:val="00CE7BB0"/>
    <w:rsid w:val="00CE7CA6"/>
    <w:rsid w:val="00CF03D8"/>
    <w:rsid w:val="00CF0785"/>
    <w:rsid w:val="00CF0939"/>
    <w:rsid w:val="00CF0DBC"/>
    <w:rsid w:val="00CF17CF"/>
    <w:rsid w:val="00CF19FC"/>
    <w:rsid w:val="00CF1D55"/>
    <w:rsid w:val="00CF24E4"/>
    <w:rsid w:val="00CF29FE"/>
    <w:rsid w:val="00CF456F"/>
    <w:rsid w:val="00CF4BCE"/>
    <w:rsid w:val="00CF4D86"/>
    <w:rsid w:val="00CF5A70"/>
    <w:rsid w:val="00CF6C23"/>
    <w:rsid w:val="00CF6C53"/>
    <w:rsid w:val="00CF6FF8"/>
    <w:rsid w:val="00CF799E"/>
    <w:rsid w:val="00CF7F3C"/>
    <w:rsid w:val="00D003F4"/>
    <w:rsid w:val="00D00D0F"/>
    <w:rsid w:val="00D01081"/>
    <w:rsid w:val="00D0185C"/>
    <w:rsid w:val="00D01C07"/>
    <w:rsid w:val="00D01CF0"/>
    <w:rsid w:val="00D01D95"/>
    <w:rsid w:val="00D02CBE"/>
    <w:rsid w:val="00D02D9B"/>
    <w:rsid w:val="00D02F9A"/>
    <w:rsid w:val="00D0320A"/>
    <w:rsid w:val="00D03450"/>
    <w:rsid w:val="00D0364A"/>
    <w:rsid w:val="00D03A19"/>
    <w:rsid w:val="00D03A48"/>
    <w:rsid w:val="00D03D86"/>
    <w:rsid w:val="00D0442A"/>
    <w:rsid w:val="00D04BDF"/>
    <w:rsid w:val="00D04EF3"/>
    <w:rsid w:val="00D04EFE"/>
    <w:rsid w:val="00D051B8"/>
    <w:rsid w:val="00D051BF"/>
    <w:rsid w:val="00D05422"/>
    <w:rsid w:val="00D05688"/>
    <w:rsid w:val="00D05701"/>
    <w:rsid w:val="00D0595D"/>
    <w:rsid w:val="00D05E3C"/>
    <w:rsid w:val="00D06E4D"/>
    <w:rsid w:val="00D071B2"/>
    <w:rsid w:val="00D074C8"/>
    <w:rsid w:val="00D10A91"/>
    <w:rsid w:val="00D11114"/>
    <w:rsid w:val="00D118BA"/>
    <w:rsid w:val="00D11B24"/>
    <w:rsid w:val="00D123A8"/>
    <w:rsid w:val="00D13247"/>
    <w:rsid w:val="00D138ED"/>
    <w:rsid w:val="00D13D88"/>
    <w:rsid w:val="00D152AC"/>
    <w:rsid w:val="00D155E7"/>
    <w:rsid w:val="00D15A01"/>
    <w:rsid w:val="00D15D26"/>
    <w:rsid w:val="00D168F8"/>
    <w:rsid w:val="00D16B47"/>
    <w:rsid w:val="00D16DB1"/>
    <w:rsid w:val="00D17BCD"/>
    <w:rsid w:val="00D2028E"/>
    <w:rsid w:val="00D203E1"/>
    <w:rsid w:val="00D2092C"/>
    <w:rsid w:val="00D20CA0"/>
    <w:rsid w:val="00D20E6C"/>
    <w:rsid w:val="00D2103B"/>
    <w:rsid w:val="00D21448"/>
    <w:rsid w:val="00D217D3"/>
    <w:rsid w:val="00D21900"/>
    <w:rsid w:val="00D21BF1"/>
    <w:rsid w:val="00D220F4"/>
    <w:rsid w:val="00D23036"/>
    <w:rsid w:val="00D23104"/>
    <w:rsid w:val="00D2359E"/>
    <w:rsid w:val="00D23723"/>
    <w:rsid w:val="00D23756"/>
    <w:rsid w:val="00D24EDF"/>
    <w:rsid w:val="00D250F8"/>
    <w:rsid w:val="00D25122"/>
    <w:rsid w:val="00D251CF"/>
    <w:rsid w:val="00D25641"/>
    <w:rsid w:val="00D2568D"/>
    <w:rsid w:val="00D2578D"/>
    <w:rsid w:val="00D25B0A"/>
    <w:rsid w:val="00D27F55"/>
    <w:rsid w:val="00D31359"/>
    <w:rsid w:val="00D322C2"/>
    <w:rsid w:val="00D32608"/>
    <w:rsid w:val="00D32F19"/>
    <w:rsid w:val="00D335CD"/>
    <w:rsid w:val="00D33B0F"/>
    <w:rsid w:val="00D33CE9"/>
    <w:rsid w:val="00D34C1B"/>
    <w:rsid w:val="00D35E1B"/>
    <w:rsid w:val="00D37B3A"/>
    <w:rsid w:val="00D4029D"/>
    <w:rsid w:val="00D40549"/>
    <w:rsid w:val="00D41F37"/>
    <w:rsid w:val="00D42040"/>
    <w:rsid w:val="00D42093"/>
    <w:rsid w:val="00D42680"/>
    <w:rsid w:val="00D42843"/>
    <w:rsid w:val="00D42ABF"/>
    <w:rsid w:val="00D43BF2"/>
    <w:rsid w:val="00D441D8"/>
    <w:rsid w:val="00D44C96"/>
    <w:rsid w:val="00D452C8"/>
    <w:rsid w:val="00D460F3"/>
    <w:rsid w:val="00D465A8"/>
    <w:rsid w:val="00D46953"/>
    <w:rsid w:val="00D472B2"/>
    <w:rsid w:val="00D47C00"/>
    <w:rsid w:val="00D47CD6"/>
    <w:rsid w:val="00D50692"/>
    <w:rsid w:val="00D508DB"/>
    <w:rsid w:val="00D513E8"/>
    <w:rsid w:val="00D51FB4"/>
    <w:rsid w:val="00D521D5"/>
    <w:rsid w:val="00D523F0"/>
    <w:rsid w:val="00D524AF"/>
    <w:rsid w:val="00D525F4"/>
    <w:rsid w:val="00D52749"/>
    <w:rsid w:val="00D52C8C"/>
    <w:rsid w:val="00D52CB3"/>
    <w:rsid w:val="00D53FE5"/>
    <w:rsid w:val="00D544B8"/>
    <w:rsid w:val="00D5453A"/>
    <w:rsid w:val="00D54D73"/>
    <w:rsid w:val="00D5537F"/>
    <w:rsid w:val="00D555B9"/>
    <w:rsid w:val="00D55A37"/>
    <w:rsid w:val="00D55E73"/>
    <w:rsid w:val="00D56C7A"/>
    <w:rsid w:val="00D56F44"/>
    <w:rsid w:val="00D578A6"/>
    <w:rsid w:val="00D57A2C"/>
    <w:rsid w:val="00D57AA9"/>
    <w:rsid w:val="00D57D8C"/>
    <w:rsid w:val="00D60239"/>
    <w:rsid w:val="00D60CF5"/>
    <w:rsid w:val="00D60F59"/>
    <w:rsid w:val="00D61388"/>
    <w:rsid w:val="00D61594"/>
    <w:rsid w:val="00D61A54"/>
    <w:rsid w:val="00D625A7"/>
    <w:rsid w:val="00D6294A"/>
    <w:rsid w:val="00D6297A"/>
    <w:rsid w:val="00D62F65"/>
    <w:rsid w:val="00D63CF5"/>
    <w:rsid w:val="00D6416C"/>
    <w:rsid w:val="00D64459"/>
    <w:rsid w:val="00D646E9"/>
    <w:rsid w:val="00D648D9"/>
    <w:rsid w:val="00D64D17"/>
    <w:rsid w:val="00D64D43"/>
    <w:rsid w:val="00D64DEA"/>
    <w:rsid w:val="00D6505B"/>
    <w:rsid w:val="00D6542D"/>
    <w:rsid w:val="00D6631A"/>
    <w:rsid w:val="00D664B7"/>
    <w:rsid w:val="00D666B8"/>
    <w:rsid w:val="00D66960"/>
    <w:rsid w:val="00D66B3E"/>
    <w:rsid w:val="00D66F49"/>
    <w:rsid w:val="00D674AB"/>
    <w:rsid w:val="00D6750B"/>
    <w:rsid w:val="00D67886"/>
    <w:rsid w:val="00D67F17"/>
    <w:rsid w:val="00D7006C"/>
    <w:rsid w:val="00D70A66"/>
    <w:rsid w:val="00D70CCF"/>
    <w:rsid w:val="00D70DFE"/>
    <w:rsid w:val="00D71434"/>
    <w:rsid w:val="00D73010"/>
    <w:rsid w:val="00D739C0"/>
    <w:rsid w:val="00D73A3E"/>
    <w:rsid w:val="00D73A54"/>
    <w:rsid w:val="00D745F9"/>
    <w:rsid w:val="00D747FC"/>
    <w:rsid w:val="00D74DAD"/>
    <w:rsid w:val="00D7585B"/>
    <w:rsid w:val="00D75A3B"/>
    <w:rsid w:val="00D76166"/>
    <w:rsid w:val="00D761B5"/>
    <w:rsid w:val="00D76581"/>
    <w:rsid w:val="00D7668F"/>
    <w:rsid w:val="00D7675A"/>
    <w:rsid w:val="00D768D8"/>
    <w:rsid w:val="00D77969"/>
    <w:rsid w:val="00D80162"/>
    <w:rsid w:val="00D807E5"/>
    <w:rsid w:val="00D80893"/>
    <w:rsid w:val="00D81892"/>
    <w:rsid w:val="00D81DB5"/>
    <w:rsid w:val="00D82396"/>
    <w:rsid w:val="00D82CA9"/>
    <w:rsid w:val="00D83213"/>
    <w:rsid w:val="00D836BB"/>
    <w:rsid w:val="00D83B0B"/>
    <w:rsid w:val="00D83E8B"/>
    <w:rsid w:val="00D84473"/>
    <w:rsid w:val="00D84CF6"/>
    <w:rsid w:val="00D8510C"/>
    <w:rsid w:val="00D85945"/>
    <w:rsid w:val="00D85B10"/>
    <w:rsid w:val="00D85CB6"/>
    <w:rsid w:val="00D863AA"/>
    <w:rsid w:val="00D870D9"/>
    <w:rsid w:val="00D909AF"/>
    <w:rsid w:val="00D90B54"/>
    <w:rsid w:val="00D90E57"/>
    <w:rsid w:val="00D91633"/>
    <w:rsid w:val="00D916EE"/>
    <w:rsid w:val="00D91997"/>
    <w:rsid w:val="00D923FA"/>
    <w:rsid w:val="00D92B61"/>
    <w:rsid w:val="00D92CF1"/>
    <w:rsid w:val="00D92D38"/>
    <w:rsid w:val="00D92D68"/>
    <w:rsid w:val="00D932CC"/>
    <w:rsid w:val="00D940EC"/>
    <w:rsid w:val="00D94939"/>
    <w:rsid w:val="00D950C4"/>
    <w:rsid w:val="00D950F5"/>
    <w:rsid w:val="00D9560E"/>
    <w:rsid w:val="00D95615"/>
    <w:rsid w:val="00D96421"/>
    <w:rsid w:val="00D96C25"/>
    <w:rsid w:val="00D977DC"/>
    <w:rsid w:val="00DA031F"/>
    <w:rsid w:val="00DA0609"/>
    <w:rsid w:val="00DA062E"/>
    <w:rsid w:val="00DA079D"/>
    <w:rsid w:val="00DA090E"/>
    <w:rsid w:val="00DA0F0D"/>
    <w:rsid w:val="00DA168E"/>
    <w:rsid w:val="00DA17AD"/>
    <w:rsid w:val="00DA1C0F"/>
    <w:rsid w:val="00DA225F"/>
    <w:rsid w:val="00DA27B6"/>
    <w:rsid w:val="00DA31E3"/>
    <w:rsid w:val="00DA392C"/>
    <w:rsid w:val="00DA3D30"/>
    <w:rsid w:val="00DA3E06"/>
    <w:rsid w:val="00DA4072"/>
    <w:rsid w:val="00DA4116"/>
    <w:rsid w:val="00DA4959"/>
    <w:rsid w:val="00DA5BC2"/>
    <w:rsid w:val="00DA62E5"/>
    <w:rsid w:val="00DA6E80"/>
    <w:rsid w:val="00DA75AC"/>
    <w:rsid w:val="00DA75AD"/>
    <w:rsid w:val="00DA7B88"/>
    <w:rsid w:val="00DA7D0B"/>
    <w:rsid w:val="00DB0079"/>
    <w:rsid w:val="00DB01A2"/>
    <w:rsid w:val="00DB04AD"/>
    <w:rsid w:val="00DB04B9"/>
    <w:rsid w:val="00DB0CDE"/>
    <w:rsid w:val="00DB0F93"/>
    <w:rsid w:val="00DB16B2"/>
    <w:rsid w:val="00DB17A8"/>
    <w:rsid w:val="00DB281D"/>
    <w:rsid w:val="00DB3078"/>
    <w:rsid w:val="00DB36CE"/>
    <w:rsid w:val="00DB4054"/>
    <w:rsid w:val="00DB4F65"/>
    <w:rsid w:val="00DB51B4"/>
    <w:rsid w:val="00DB55D0"/>
    <w:rsid w:val="00DB5B14"/>
    <w:rsid w:val="00DB64E6"/>
    <w:rsid w:val="00DB673C"/>
    <w:rsid w:val="00DB6C39"/>
    <w:rsid w:val="00DB6CF4"/>
    <w:rsid w:val="00DB6E26"/>
    <w:rsid w:val="00DB6E69"/>
    <w:rsid w:val="00DB7241"/>
    <w:rsid w:val="00DB72C9"/>
    <w:rsid w:val="00DC04B3"/>
    <w:rsid w:val="00DC05CA"/>
    <w:rsid w:val="00DC0834"/>
    <w:rsid w:val="00DC0B74"/>
    <w:rsid w:val="00DC106A"/>
    <w:rsid w:val="00DC12FD"/>
    <w:rsid w:val="00DC14FD"/>
    <w:rsid w:val="00DC1C5E"/>
    <w:rsid w:val="00DC1E96"/>
    <w:rsid w:val="00DC2174"/>
    <w:rsid w:val="00DC25CF"/>
    <w:rsid w:val="00DC2F92"/>
    <w:rsid w:val="00DC4098"/>
    <w:rsid w:val="00DC412A"/>
    <w:rsid w:val="00DC4134"/>
    <w:rsid w:val="00DC4535"/>
    <w:rsid w:val="00DC514C"/>
    <w:rsid w:val="00DC542F"/>
    <w:rsid w:val="00DC5B53"/>
    <w:rsid w:val="00DC5C82"/>
    <w:rsid w:val="00DC6564"/>
    <w:rsid w:val="00DC6AB4"/>
    <w:rsid w:val="00DC6E36"/>
    <w:rsid w:val="00DC788C"/>
    <w:rsid w:val="00DC7981"/>
    <w:rsid w:val="00DC7ADB"/>
    <w:rsid w:val="00DD041E"/>
    <w:rsid w:val="00DD04F8"/>
    <w:rsid w:val="00DD0F2A"/>
    <w:rsid w:val="00DD15A6"/>
    <w:rsid w:val="00DD1724"/>
    <w:rsid w:val="00DD1849"/>
    <w:rsid w:val="00DD2215"/>
    <w:rsid w:val="00DD22B0"/>
    <w:rsid w:val="00DD2473"/>
    <w:rsid w:val="00DD3117"/>
    <w:rsid w:val="00DD359F"/>
    <w:rsid w:val="00DD3D9C"/>
    <w:rsid w:val="00DD4076"/>
    <w:rsid w:val="00DD4276"/>
    <w:rsid w:val="00DD4B12"/>
    <w:rsid w:val="00DD4D3A"/>
    <w:rsid w:val="00DD4F09"/>
    <w:rsid w:val="00DD4F62"/>
    <w:rsid w:val="00DD4FB0"/>
    <w:rsid w:val="00DD54F9"/>
    <w:rsid w:val="00DD56EE"/>
    <w:rsid w:val="00DD5E42"/>
    <w:rsid w:val="00DD5ECA"/>
    <w:rsid w:val="00DD5F5C"/>
    <w:rsid w:val="00DD6217"/>
    <w:rsid w:val="00DD67B1"/>
    <w:rsid w:val="00DD67D3"/>
    <w:rsid w:val="00DD68DC"/>
    <w:rsid w:val="00DD71D1"/>
    <w:rsid w:val="00DD7449"/>
    <w:rsid w:val="00DD7526"/>
    <w:rsid w:val="00DD7935"/>
    <w:rsid w:val="00DE0BE2"/>
    <w:rsid w:val="00DE1749"/>
    <w:rsid w:val="00DE17D9"/>
    <w:rsid w:val="00DE1B2C"/>
    <w:rsid w:val="00DE213F"/>
    <w:rsid w:val="00DE241F"/>
    <w:rsid w:val="00DE3338"/>
    <w:rsid w:val="00DE3503"/>
    <w:rsid w:val="00DE4433"/>
    <w:rsid w:val="00DE4EFA"/>
    <w:rsid w:val="00DE504B"/>
    <w:rsid w:val="00DE5520"/>
    <w:rsid w:val="00DE55C1"/>
    <w:rsid w:val="00DE56E4"/>
    <w:rsid w:val="00DE6217"/>
    <w:rsid w:val="00DE624B"/>
    <w:rsid w:val="00DE62FE"/>
    <w:rsid w:val="00DE653F"/>
    <w:rsid w:val="00DE66F5"/>
    <w:rsid w:val="00DE6EE3"/>
    <w:rsid w:val="00DE74D2"/>
    <w:rsid w:val="00DE7B15"/>
    <w:rsid w:val="00DE7E17"/>
    <w:rsid w:val="00DF000A"/>
    <w:rsid w:val="00DF02F7"/>
    <w:rsid w:val="00DF042F"/>
    <w:rsid w:val="00DF04F2"/>
    <w:rsid w:val="00DF1309"/>
    <w:rsid w:val="00DF1F67"/>
    <w:rsid w:val="00DF2F28"/>
    <w:rsid w:val="00DF2F96"/>
    <w:rsid w:val="00DF35EB"/>
    <w:rsid w:val="00DF4D84"/>
    <w:rsid w:val="00DF5FE7"/>
    <w:rsid w:val="00DF6308"/>
    <w:rsid w:val="00DF698E"/>
    <w:rsid w:val="00DF75EA"/>
    <w:rsid w:val="00DF780C"/>
    <w:rsid w:val="00E00A0A"/>
    <w:rsid w:val="00E00D76"/>
    <w:rsid w:val="00E0138F"/>
    <w:rsid w:val="00E0225B"/>
    <w:rsid w:val="00E02358"/>
    <w:rsid w:val="00E03E7B"/>
    <w:rsid w:val="00E04818"/>
    <w:rsid w:val="00E05BE6"/>
    <w:rsid w:val="00E05E0B"/>
    <w:rsid w:val="00E05FA3"/>
    <w:rsid w:val="00E05FBB"/>
    <w:rsid w:val="00E06442"/>
    <w:rsid w:val="00E0646B"/>
    <w:rsid w:val="00E06A52"/>
    <w:rsid w:val="00E06F09"/>
    <w:rsid w:val="00E07AFA"/>
    <w:rsid w:val="00E07CBB"/>
    <w:rsid w:val="00E07EAB"/>
    <w:rsid w:val="00E07F26"/>
    <w:rsid w:val="00E1050B"/>
    <w:rsid w:val="00E1103D"/>
    <w:rsid w:val="00E117F6"/>
    <w:rsid w:val="00E12440"/>
    <w:rsid w:val="00E13179"/>
    <w:rsid w:val="00E140B4"/>
    <w:rsid w:val="00E14414"/>
    <w:rsid w:val="00E14E4B"/>
    <w:rsid w:val="00E16152"/>
    <w:rsid w:val="00E16C4A"/>
    <w:rsid w:val="00E173F3"/>
    <w:rsid w:val="00E1750A"/>
    <w:rsid w:val="00E20098"/>
    <w:rsid w:val="00E20261"/>
    <w:rsid w:val="00E20538"/>
    <w:rsid w:val="00E20587"/>
    <w:rsid w:val="00E210D5"/>
    <w:rsid w:val="00E214BE"/>
    <w:rsid w:val="00E21742"/>
    <w:rsid w:val="00E22326"/>
    <w:rsid w:val="00E22654"/>
    <w:rsid w:val="00E23941"/>
    <w:rsid w:val="00E23993"/>
    <w:rsid w:val="00E23FC3"/>
    <w:rsid w:val="00E25190"/>
    <w:rsid w:val="00E25434"/>
    <w:rsid w:val="00E259FF"/>
    <w:rsid w:val="00E25B8C"/>
    <w:rsid w:val="00E264AD"/>
    <w:rsid w:val="00E26B5D"/>
    <w:rsid w:val="00E27642"/>
    <w:rsid w:val="00E27A31"/>
    <w:rsid w:val="00E30B21"/>
    <w:rsid w:val="00E31518"/>
    <w:rsid w:val="00E319DD"/>
    <w:rsid w:val="00E325C0"/>
    <w:rsid w:val="00E32FC7"/>
    <w:rsid w:val="00E33DA4"/>
    <w:rsid w:val="00E34094"/>
    <w:rsid w:val="00E344B6"/>
    <w:rsid w:val="00E348A7"/>
    <w:rsid w:val="00E34B43"/>
    <w:rsid w:val="00E36327"/>
    <w:rsid w:val="00E36332"/>
    <w:rsid w:val="00E373BC"/>
    <w:rsid w:val="00E376C0"/>
    <w:rsid w:val="00E4099B"/>
    <w:rsid w:val="00E40D89"/>
    <w:rsid w:val="00E41210"/>
    <w:rsid w:val="00E41B29"/>
    <w:rsid w:val="00E41E31"/>
    <w:rsid w:val="00E422F5"/>
    <w:rsid w:val="00E43027"/>
    <w:rsid w:val="00E436D5"/>
    <w:rsid w:val="00E43828"/>
    <w:rsid w:val="00E438DD"/>
    <w:rsid w:val="00E4399D"/>
    <w:rsid w:val="00E43A04"/>
    <w:rsid w:val="00E44782"/>
    <w:rsid w:val="00E4545C"/>
    <w:rsid w:val="00E45B13"/>
    <w:rsid w:val="00E461B8"/>
    <w:rsid w:val="00E46408"/>
    <w:rsid w:val="00E4674F"/>
    <w:rsid w:val="00E469E4"/>
    <w:rsid w:val="00E46C6C"/>
    <w:rsid w:val="00E46F71"/>
    <w:rsid w:val="00E47A0E"/>
    <w:rsid w:val="00E47E0E"/>
    <w:rsid w:val="00E47E1C"/>
    <w:rsid w:val="00E50659"/>
    <w:rsid w:val="00E5080C"/>
    <w:rsid w:val="00E50C9B"/>
    <w:rsid w:val="00E50E00"/>
    <w:rsid w:val="00E5184B"/>
    <w:rsid w:val="00E526F8"/>
    <w:rsid w:val="00E52791"/>
    <w:rsid w:val="00E52DE7"/>
    <w:rsid w:val="00E52FCE"/>
    <w:rsid w:val="00E533D1"/>
    <w:rsid w:val="00E541A5"/>
    <w:rsid w:val="00E54858"/>
    <w:rsid w:val="00E5558F"/>
    <w:rsid w:val="00E55634"/>
    <w:rsid w:val="00E556FC"/>
    <w:rsid w:val="00E55B5C"/>
    <w:rsid w:val="00E56698"/>
    <w:rsid w:val="00E57D8F"/>
    <w:rsid w:val="00E60144"/>
    <w:rsid w:val="00E6068D"/>
    <w:rsid w:val="00E60AC3"/>
    <w:rsid w:val="00E60C4D"/>
    <w:rsid w:val="00E61095"/>
    <w:rsid w:val="00E61B73"/>
    <w:rsid w:val="00E61DD6"/>
    <w:rsid w:val="00E61ED6"/>
    <w:rsid w:val="00E627BD"/>
    <w:rsid w:val="00E62A9D"/>
    <w:rsid w:val="00E63847"/>
    <w:rsid w:val="00E63962"/>
    <w:rsid w:val="00E63D55"/>
    <w:rsid w:val="00E64AE1"/>
    <w:rsid w:val="00E64B2D"/>
    <w:rsid w:val="00E64C5C"/>
    <w:rsid w:val="00E65C85"/>
    <w:rsid w:val="00E66199"/>
    <w:rsid w:val="00E661F9"/>
    <w:rsid w:val="00E6673D"/>
    <w:rsid w:val="00E669CF"/>
    <w:rsid w:val="00E70085"/>
    <w:rsid w:val="00E70372"/>
    <w:rsid w:val="00E708D2"/>
    <w:rsid w:val="00E70EAA"/>
    <w:rsid w:val="00E711E8"/>
    <w:rsid w:val="00E712F7"/>
    <w:rsid w:val="00E71C9D"/>
    <w:rsid w:val="00E71ED0"/>
    <w:rsid w:val="00E72D77"/>
    <w:rsid w:val="00E72F05"/>
    <w:rsid w:val="00E73D54"/>
    <w:rsid w:val="00E73DF4"/>
    <w:rsid w:val="00E7409D"/>
    <w:rsid w:val="00E749AE"/>
    <w:rsid w:val="00E74FB6"/>
    <w:rsid w:val="00E755EC"/>
    <w:rsid w:val="00E75C10"/>
    <w:rsid w:val="00E75D92"/>
    <w:rsid w:val="00E75F55"/>
    <w:rsid w:val="00E7624D"/>
    <w:rsid w:val="00E76A4A"/>
    <w:rsid w:val="00E77C6C"/>
    <w:rsid w:val="00E800DE"/>
    <w:rsid w:val="00E8032D"/>
    <w:rsid w:val="00E805F9"/>
    <w:rsid w:val="00E80C92"/>
    <w:rsid w:val="00E80CCD"/>
    <w:rsid w:val="00E820C3"/>
    <w:rsid w:val="00E826AE"/>
    <w:rsid w:val="00E82B93"/>
    <w:rsid w:val="00E82E27"/>
    <w:rsid w:val="00E83365"/>
    <w:rsid w:val="00E8396D"/>
    <w:rsid w:val="00E847C7"/>
    <w:rsid w:val="00E84842"/>
    <w:rsid w:val="00E8493A"/>
    <w:rsid w:val="00E84CF2"/>
    <w:rsid w:val="00E85146"/>
    <w:rsid w:val="00E851C7"/>
    <w:rsid w:val="00E85F09"/>
    <w:rsid w:val="00E86464"/>
    <w:rsid w:val="00E8677C"/>
    <w:rsid w:val="00E86BD0"/>
    <w:rsid w:val="00E873F6"/>
    <w:rsid w:val="00E90E46"/>
    <w:rsid w:val="00E9133F"/>
    <w:rsid w:val="00E91D48"/>
    <w:rsid w:val="00E91F34"/>
    <w:rsid w:val="00E922BF"/>
    <w:rsid w:val="00E923F3"/>
    <w:rsid w:val="00E9345C"/>
    <w:rsid w:val="00E936D3"/>
    <w:rsid w:val="00E93884"/>
    <w:rsid w:val="00E93B88"/>
    <w:rsid w:val="00E93F56"/>
    <w:rsid w:val="00E9503F"/>
    <w:rsid w:val="00E963BF"/>
    <w:rsid w:val="00E96A57"/>
    <w:rsid w:val="00E96DB3"/>
    <w:rsid w:val="00E97B1F"/>
    <w:rsid w:val="00E97F62"/>
    <w:rsid w:val="00EA0452"/>
    <w:rsid w:val="00EA244A"/>
    <w:rsid w:val="00EA26AB"/>
    <w:rsid w:val="00EA2E10"/>
    <w:rsid w:val="00EA34DC"/>
    <w:rsid w:val="00EA39FF"/>
    <w:rsid w:val="00EA3D42"/>
    <w:rsid w:val="00EA3E2A"/>
    <w:rsid w:val="00EA4C47"/>
    <w:rsid w:val="00EA4E4C"/>
    <w:rsid w:val="00EA51FB"/>
    <w:rsid w:val="00EA5A72"/>
    <w:rsid w:val="00EA5D42"/>
    <w:rsid w:val="00EA5FB3"/>
    <w:rsid w:val="00EA61D4"/>
    <w:rsid w:val="00EA6B01"/>
    <w:rsid w:val="00EA6B1B"/>
    <w:rsid w:val="00EA6BC5"/>
    <w:rsid w:val="00EA7B1C"/>
    <w:rsid w:val="00EA7E99"/>
    <w:rsid w:val="00EB0154"/>
    <w:rsid w:val="00EB0591"/>
    <w:rsid w:val="00EB0603"/>
    <w:rsid w:val="00EB157D"/>
    <w:rsid w:val="00EB16A5"/>
    <w:rsid w:val="00EB2859"/>
    <w:rsid w:val="00EB303F"/>
    <w:rsid w:val="00EB312E"/>
    <w:rsid w:val="00EB3AB3"/>
    <w:rsid w:val="00EB4830"/>
    <w:rsid w:val="00EB4A3E"/>
    <w:rsid w:val="00EB4B87"/>
    <w:rsid w:val="00EB51D9"/>
    <w:rsid w:val="00EB51F0"/>
    <w:rsid w:val="00EB61DB"/>
    <w:rsid w:val="00EB66D1"/>
    <w:rsid w:val="00EB6D77"/>
    <w:rsid w:val="00EB761A"/>
    <w:rsid w:val="00EC0071"/>
    <w:rsid w:val="00EC01BD"/>
    <w:rsid w:val="00EC01E5"/>
    <w:rsid w:val="00EC03CB"/>
    <w:rsid w:val="00EC06B8"/>
    <w:rsid w:val="00EC074F"/>
    <w:rsid w:val="00EC08A1"/>
    <w:rsid w:val="00EC1267"/>
    <w:rsid w:val="00EC13AB"/>
    <w:rsid w:val="00EC1D5E"/>
    <w:rsid w:val="00EC2CF8"/>
    <w:rsid w:val="00EC2F93"/>
    <w:rsid w:val="00EC327F"/>
    <w:rsid w:val="00EC3806"/>
    <w:rsid w:val="00EC3F6D"/>
    <w:rsid w:val="00EC4C22"/>
    <w:rsid w:val="00EC4EAB"/>
    <w:rsid w:val="00EC5B00"/>
    <w:rsid w:val="00EC66DC"/>
    <w:rsid w:val="00EC6A21"/>
    <w:rsid w:val="00EC7C38"/>
    <w:rsid w:val="00ED020B"/>
    <w:rsid w:val="00ED0259"/>
    <w:rsid w:val="00ED0399"/>
    <w:rsid w:val="00ED094D"/>
    <w:rsid w:val="00ED1781"/>
    <w:rsid w:val="00ED17E0"/>
    <w:rsid w:val="00ED2063"/>
    <w:rsid w:val="00ED2222"/>
    <w:rsid w:val="00ED2D47"/>
    <w:rsid w:val="00ED2EB1"/>
    <w:rsid w:val="00ED2EC4"/>
    <w:rsid w:val="00ED2F94"/>
    <w:rsid w:val="00ED357C"/>
    <w:rsid w:val="00ED3898"/>
    <w:rsid w:val="00ED38FA"/>
    <w:rsid w:val="00ED3942"/>
    <w:rsid w:val="00ED3B3A"/>
    <w:rsid w:val="00ED3D55"/>
    <w:rsid w:val="00ED3E2C"/>
    <w:rsid w:val="00ED4367"/>
    <w:rsid w:val="00ED47CE"/>
    <w:rsid w:val="00ED494E"/>
    <w:rsid w:val="00ED5724"/>
    <w:rsid w:val="00ED5A73"/>
    <w:rsid w:val="00ED5AB8"/>
    <w:rsid w:val="00ED61D6"/>
    <w:rsid w:val="00ED6509"/>
    <w:rsid w:val="00ED6615"/>
    <w:rsid w:val="00ED687F"/>
    <w:rsid w:val="00ED6999"/>
    <w:rsid w:val="00ED6C3E"/>
    <w:rsid w:val="00ED73AB"/>
    <w:rsid w:val="00ED740B"/>
    <w:rsid w:val="00ED7486"/>
    <w:rsid w:val="00ED7938"/>
    <w:rsid w:val="00EE035B"/>
    <w:rsid w:val="00EE085C"/>
    <w:rsid w:val="00EE0A33"/>
    <w:rsid w:val="00EE0C77"/>
    <w:rsid w:val="00EE11D9"/>
    <w:rsid w:val="00EE131D"/>
    <w:rsid w:val="00EE1A82"/>
    <w:rsid w:val="00EE2393"/>
    <w:rsid w:val="00EE2619"/>
    <w:rsid w:val="00EE28F3"/>
    <w:rsid w:val="00EE3198"/>
    <w:rsid w:val="00EE3584"/>
    <w:rsid w:val="00EE37B4"/>
    <w:rsid w:val="00EE39B2"/>
    <w:rsid w:val="00EE3BAD"/>
    <w:rsid w:val="00EE3C51"/>
    <w:rsid w:val="00EE3D81"/>
    <w:rsid w:val="00EE3FC9"/>
    <w:rsid w:val="00EE4005"/>
    <w:rsid w:val="00EE4B61"/>
    <w:rsid w:val="00EE51E7"/>
    <w:rsid w:val="00EE5292"/>
    <w:rsid w:val="00EE54A2"/>
    <w:rsid w:val="00EE56BE"/>
    <w:rsid w:val="00EE590F"/>
    <w:rsid w:val="00EE5B9C"/>
    <w:rsid w:val="00EE67B5"/>
    <w:rsid w:val="00EE67C1"/>
    <w:rsid w:val="00EE6E96"/>
    <w:rsid w:val="00EE742E"/>
    <w:rsid w:val="00EE7801"/>
    <w:rsid w:val="00EE7990"/>
    <w:rsid w:val="00EF0266"/>
    <w:rsid w:val="00EF1023"/>
    <w:rsid w:val="00EF11EF"/>
    <w:rsid w:val="00EF13B7"/>
    <w:rsid w:val="00EF26BA"/>
    <w:rsid w:val="00EF2A1D"/>
    <w:rsid w:val="00EF31DE"/>
    <w:rsid w:val="00EF40F7"/>
    <w:rsid w:val="00EF470E"/>
    <w:rsid w:val="00EF4AC8"/>
    <w:rsid w:val="00EF5110"/>
    <w:rsid w:val="00EF5EAA"/>
    <w:rsid w:val="00EF62C3"/>
    <w:rsid w:val="00EF6615"/>
    <w:rsid w:val="00EF67E9"/>
    <w:rsid w:val="00EF706A"/>
    <w:rsid w:val="00EF721A"/>
    <w:rsid w:val="00EF734D"/>
    <w:rsid w:val="00F0016C"/>
    <w:rsid w:val="00F00C9C"/>
    <w:rsid w:val="00F011C4"/>
    <w:rsid w:val="00F01333"/>
    <w:rsid w:val="00F013F2"/>
    <w:rsid w:val="00F016D2"/>
    <w:rsid w:val="00F0180B"/>
    <w:rsid w:val="00F01BF7"/>
    <w:rsid w:val="00F01F3E"/>
    <w:rsid w:val="00F0246A"/>
    <w:rsid w:val="00F028DE"/>
    <w:rsid w:val="00F02CFB"/>
    <w:rsid w:val="00F02E20"/>
    <w:rsid w:val="00F030E8"/>
    <w:rsid w:val="00F034E8"/>
    <w:rsid w:val="00F0350A"/>
    <w:rsid w:val="00F0408B"/>
    <w:rsid w:val="00F04429"/>
    <w:rsid w:val="00F04AF8"/>
    <w:rsid w:val="00F04B8D"/>
    <w:rsid w:val="00F04EF8"/>
    <w:rsid w:val="00F05000"/>
    <w:rsid w:val="00F05938"/>
    <w:rsid w:val="00F05A03"/>
    <w:rsid w:val="00F06152"/>
    <w:rsid w:val="00F06D6C"/>
    <w:rsid w:val="00F06FB8"/>
    <w:rsid w:val="00F10B59"/>
    <w:rsid w:val="00F11669"/>
    <w:rsid w:val="00F12618"/>
    <w:rsid w:val="00F12DA2"/>
    <w:rsid w:val="00F136DF"/>
    <w:rsid w:val="00F1378A"/>
    <w:rsid w:val="00F13FF1"/>
    <w:rsid w:val="00F145C5"/>
    <w:rsid w:val="00F157D7"/>
    <w:rsid w:val="00F15806"/>
    <w:rsid w:val="00F15882"/>
    <w:rsid w:val="00F1591F"/>
    <w:rsid w:val="00F15ED1"/>
    <w:rsid w:val="00F1655D"/>
    <w:rsid w:val="00F16D8C"/>
    <w:rsid w:val="00F20030"/>
    <w:rsid w:val="00F203EB"/>
    <w:rsid w:val="00F20BD3"/>
    <w:rsid w:val="00F22430"/>
    <w:rsid w:val="00F22AFE"/>
    <w:rsid w:val="00F22BE1"/>
    <w:rsid w:val="00F23101"/>
    <w:rsid w:val="00F23225"/>
    <w:rsid w:val="00F2349A"/>
    <w:rsid w:val="00F23B7B"/>
    <w:rsid w:val="00F23DA0"/>
    <w:rsid w:val="00F23FD9"/>
    <w:rsid w:val="00F2453D"/>
    <w:rsid w:val="00F24587"/>
    <w:rsid w:val="00F24C46"/>
    <w:rsid w:val="00F25A51"/>
    <w:rsid w:val="00F265A2"/>
    <w:rsid w:val="00F26843"/>
    <w:rsid w:val="00F26F25"/>
    <w:rsid w:val="00F2717A"/>
    <w:rsid w:val="00F2767F"/>
    <w:rsid w:val="00F27D10"/>
    <w:rsid w:val="00F303C7"/>
    <w:rsid w:val="00F30408"/>
    <w:rsid w:val="00F307DA"/>
    <w:rsid w:val="00F30DE4"/>
    <w:rsid w:val="00F321EF"/>
    <w:rsid w:val="00F32545"/>
    <w:rsid w:val="00F3270D"/>
    <w:rsid w:val="00F33263"/>
    <w:rsid w:val="00F3338F"/>
    <w:rsid w:val="00F3343B"/>
    <w:rsid w:val="00F33FF2"/>
    <w:rsid w:val="00F34193"/>
    <w:rsid w:val="00F34885"/>
    <w:rsid w:val="00F35137"/>
    <w:rsid w:val="00F35B85"/>
    <w:rsid w:val="00F35E37"/>
    <w:rsid w:val="00F35F40"/>
    <w:rsid w:val="00F363B3"/>
    <w:rsid w:val="00F36624"/>
    <w:rsid w:val="00F36DAA"/>
    <w:rsid w:val="00F370D8"/>
    <w:rsid w:val="00F373A5"/>
    <w:rsid w:val="00F37BD3"/>
    <w:rsid w:val="00F37C10"/>
    <w:rsid w:val="00F40327"/>
    <w:rsid w:val="00F40493"/>
    <w:rsid w:val="00F40754"/>
    <w:rsid w:val="00F414A8"/>
    <w:rsid w:val="00F41A30"/>
    <w:rsid w:val="00F41DA2"/>
    <w:rsid w:val="00F42091"/>
    <w:rsid w:val="00F42A5F"/>
    <w:rsid w:val="00F42E34"/>
    <w:rsid w:val="00F431A7"/>
    <w:rsid w:val="00F436FE"/>
    <w:rsid w:val="00F43707"/>
    <w:rsid w:val="00F43A23"/>
    <w:rsid w:val="00F44300"/>
    <w:rsid w:val="00F44305"/>
    <w:rsid w:val="00F44466"/>
    <w:rsid w:val="00F4459A"/>
    <w:rsid w:val="00F449DE"/>
    <w:rsid w:val="00F44EE3"/>
    <w:rsid w:val="00F4504D"/>
    <w:rsid w:val="00F45B21"/>
    <w:rsid w:val="00F45F54"/>
    <w:rsid w:val="00F464B8"/>
    <w:rsid w:val="00F466BC"/>
    <w:rsid w:val="00F46F5F"/>
    <w:rsid w:val="00F47559"/>
    <w:rsid w:val="00F47D7F"/>
    <w:rsid w:val="00F47F7E"/>
    <w:rsid w:val="00F507D6"/>
    <w:rsid w:val="00F50D36"/>
    <w:rsid w:val="00F50D6B"/>
    <w:rsid w:val="00F51A0A"/>
    <w:rsid w:val="00F51BDD"/>
    <w:rsid w:val="00F51C05"/>
    <w:rsid w:val="00F51CED"/>
    <w:rsid w:val="00F51E7C"/>
    <w:rsid w:val="00F51EFE"/>
    <w:rsid w:val="00F52C44"/>
    <w:rsid w:val="00F530A3"/>
    <w:rsid w:val="00F539CC"/>
    <w:rsid w:val="00F54D16"/>
    <w:rsid w:val="00F560D0"/>
    <w:rsid w:val="00F563B9"/>
    <w:rsid w:val="00F5698A"/>
    <w:rsid w:val="00F56A22"/>
    <w:rsid w:val="00F56FC5"/>
    <w:rsid w:val="00F57405"/>
    <w:rsid w:val="00F57901"/>
    <w:rsid w:val="00F57B8E"/>
    <w:rsid w:val="00F60AFF"/>
    <w:rsid w:val="00F60BE4"/>
    <w:rsid w:val="00F61B84"/>
    <w:rsid w:val="00F61F30"/>
    <w:rsid w:val="00F62215"/>
    <w:rsid w:val="00F62441"/>
    <w:rsid w:val="00F62590"/>
    <w:rsid w:val="00F62CE3"/>
    <w:rsid w:val="00F632FF"/>
    <w:rsid w:val="00F63334"/>
    <w:rsid w:val="00F63A23"/>
    <w:rsid w:val="00F63CB4"/>
    <w:rsid w:val="00F63E5C"/>
    <w:rsid w:val="00F63F86"/>
    <w:rsid w:val="00F640F5"/>
    <w:rsid w:val="00F64252"/>
    <w:rsid w:val="00F6462E"/>
    <w:rsid w:val="00F64C7B"/>
    <w:rsid w:val="00F6596E"/>
    <w:rsid w:val="00F65B39"/>
    <w:rsid w:val="00F6633F"/>
    <w:rsid w:val="00F665F5"/>
    <w:rsid w:val="00F6666E"/>
    <w:rsid w:val="00F66D08"/>
    <w:rsid w:val="00F66E48"/>
    <w:rsid w:val="00F676DD"/>
    <w:rsid w:val="00F67A38"/>
    <w:rsid w:val="00F70714"/>
    <w:rsid w:val="00F71242"/>
    <w:rsid w:val="00F71C6A"/>
    <w:rsid w:val="00F72737"/>
    <w:rsid w:val="00F727FC"/>
    <w:rsid w:val="00F72C93"/>
    <w:rsid w:val="00F72E06"/>
    <w:rsid w:val="00F73802"/>
    <w:rsid w:val="00F7434A"/>
    <w:rsid w:val="00F7461A"/>
    <w:rsid w:val="00F74C02"/>
    <w:rsid w:val="00F74E69"/>
    <w:rsid w:val="00F75A26"/>
    <w:rsid w:val="00F75ECF"/>
    <w:rsid w:val="00F767DE"/>
    <w:rsid w:val="00F77A90"/>
    <w:rsid w:val="00F77F62"/>
    <w:rsid w:val="00F8001D"/>
    <w:rsid w:val="00F800CA"/>
    <w:rsid w:val="00F81110"/>
    <w:rsid w:val="00F816C9"/>
    <w:rsid w:val="00F817E5"/>
    <w:rsid w:val="00F819EB"/>
    <w:rsid w:val="00F820C3"/>
    <w:rsid w:val="00F8253F"/>
    <w:rsid w:val="00F825D2"/>
    <w:rsid w:val="00F82676"/>
    <w:rsid w:val="00F82AA8"/>
    <w:rsid w:val="00F82B9A"/>
    <w:rsid w:val="00F82CF8"/>
    <w:rsid w:val="00F82DE2"/>
    <w:rsid w:val="00F83081"/>
    <w:rsid w:val="00F83798"/>
    <w:rsid w:val="00F83DFF"/>
    <w:rsid w:val="00F83FAD"/>
    <w:rsid w:val="00F8452A"/>
    <w:rsid w:val="00F84AC1"/>
    <w:rsid w:val="00F84AED"/>
    <w:rsid w:val="00F86605"/>
    <w:rsid w:val="00F86B44"/>
    <w:rsid w:val="00F86F6F"/>
    <w:rsid w:val="00F8716D"/>
    <w:rsid w:val="00F8724C"/>
    <w:rsid w:val="00F87438"/>
    <w:rsid w:val="00F87507"/>
    <w:rsid w:val="00F87DFB"/>
    <w:rsid w:val="00F905E9"/>
    <w:rsid w:val="00F90D57"/>
    <w:rsid w:val="00F91553"/>
    <w:rsid w:val="00F9186C"/>
    <w:rsid w:val="00F91DC6"/>
    <w:rsid w:val="00F92177"/>
    <w:rsid w:val="00F92497"/>
    <w:rsid w:val="00F926E7"/>
    <w:rsid w:val="00F93144"/>
    <w:rsid w:val="00F9317A"/>
    <w:rsid w:val="00F932E7"/>
    <w:rsid w:val="00F93AA3"/>
    <w:rsid w:val="00F93B65"/>
    <w:rsid w:val="00F93CF3"/>
    <w:rsid w:val="00F9431E"/>
    <w:rsid w:val="00F94C7E"/>
    <w:rsid w:val="00F94CD8"/>
    <w:rsid w:val="00F952A0"/>
    <w:rsid w:val="00F96150"/>
    <w:rsid w:val="00F9628D"/>
    <w:rsid w:val="00F96D24"/>
    <w:rsid w:val="00F9720D"/>
    <w:rsid w:val="00F9792F"/>
    <w:rsid w:val="00F97EAE"/>
    <w:rsid w:val="00FA0257"/>
    <w:rsid w:val="00FA0476"/>
    <w:rsid w:val="00FA08DA"/>
    <w:rsid w:val="00FA1D8D"/>
    <w:rsid w:val="00FA28DF"/>
    <w:rsid w:val="00FA3090"/>
    <w:rsid w:val="00FA33A3"/>
    <w:rsid w:val="00FA3680"/>
    <w:rsid w:val="00FA3AC6"/>
    <w:rsid w:val="00FA3C7F"/>
    <w:rsid w:val="00FA3FA8"/>
    <w:rsid w:val="00FA4263"/>
    <w:rsid w:val="00FA4476"/>
    <w:rsid w:val="00FA4917"/>
    <w:rsid w:val="00FA4CCE"/>
    <w:rsid w:val="00FA4E09"/>
    <w:rsid w:val="00FA5452"/>
    <w:rsid w:val="00FA57A4"/>
    <w:rsid w:val="00FA5F06"/>
    <w:rsid w:val="00FA6C3C"/>
    <w:rsid w:val="00FA6D51"/>
    <w:rsid w:val="00FA7021"/>
    <w:rsid w:val="00FA78CB"/>
    <w:rsid w:val="00FA7DC6"/>
    <w:rsid w:val="00FA7E89"/>
    <w:rsid w:val="00FB020A"/>
    <w:rsid w:val="00FB0408"/>
    <w:rsid w:val="00FB09C2"/>
    <w:rsid w:val="00FB0ACE"/>
    <w:rsid w:val="00FB1872"/>
    <w:rsid w:val="00FB1BA0"/>
    <w:rsid w:val="00FB20A8"/>
    <w:rsid w:val="00FB2A53"/>
    <w:rsid w:val="00FB31A8"/>
    <w:rsid w:val="00FB49F9"/>
    <w:rsid w:val="00FB5248"/>
    <w:rsid w:val="00FB52D7"/>
    <w:rsid w:val="00FB5378"/>
    <w:rsid w:val="00FB542A"/>
    <w:rsid w:val="00FB5462"/>
    <w:rsid w:val="00FB5885"/>
    <w:rsid w:val="00FB59CA"/>
    <w:rsid w:val="00FB5D25"/>
    <w:rsid w:val="00FB5F56"/>
    <w:rsid w:val="00FB62A4"/>
    <w:rsid w:val="00FB6480"/>
    <w:rsid w:val="00FB654A"/>
    <w:rsid w:val="00FB670B"/>
    <w:rsid w:val="00FB72A6"/>
    <w:rsid w:val="00FB74E2"/>
    <w:rsid w:val="00FB797C"/>
    <w:rsid w:val="00FB7DA7"/>
    <w:rsid w:val="00FC03FF"/>
    <w:rsid w:val="00FC07A6"/>
    <w:rsid w:val="00FC08C7"/>
    <w:rsid w:val="00FC2349"/>
    <w:rsid w:val="00FC276B"/>
    <w:rsid w:val="00FC2849"/>
    <w:rsid w:val="00FC2B98"/>
    <w:rsid w:val="00FC30F0"/>
    <w:rsid w:val="00FC3225"/>
    <w:rsid w:val="00FC39BD"/>
    <w:rsid w:val="00FC4015"/>
    <w:rsid w:val="00FC46BA"/>
    <w:rsid w:val="00FC4864"/>
    <w:rsid w:val="00FC54C6"/>
    <w:rsid w:val="00FC58EE"/>
    <w:rsid w:val="00FC6141"/>
    <w:rsid w:val="00FC67D6"/>
    <w:rsid w:val="00FD0637"/>
    <w:rsid w:val="00FD0FFB"/>
    <w:rsid w:val="00FD10F8"/>
    <w:rsid w:val="00FD1252"/>
    <w:rsid w:val="00FD18A8"/>
    <w:rsid w:val="00FD1FF8"/>
    <w:rsid w:val="00FD2799"/>
    <w:rsid w:val="00FD2DCE"/>
    <w:rsid w:val="00FD2EBE"/>
    <w:rsid w:val="00FD310F"/>
    <w:rsid w:val="00FD3BDB"/>
    <w:rsid w:val="00FD3FAB"/>
    <w:rsid w:val="00FD430D"/>
    <w:rsid w:val="00FD4451"/>
    <w:rsid w:val="00FD49A9"/>
    <w:rsid w:val="00FD5024"/>
    <w:rsid w:val="00FD5614"/>
    <w:rsid w:val="00FD5A87"/>
    <w:rsid w:val="00FD6659"/>
    <w:rsid w:val="00FD6A0A"/>
    <w:rsid w:val="00FD6BCE"/>
    <w:rsid w:val="00FD6C6F"/>
    <w:rsid w:val="00FD6FE9"/>
    <w:rsid w:val="00FD711A"/>
    <w:rsid w:val="00FE01B9"/>
    <w:rsid w:val="00FE06BB"/>
    <w:rsid w:val="00FE0BE1"/>
    <w:rsid w:val="00FE1269"/>
    <w:rsid w:val="00FE14C2"/>
    <w:rsid w:val="00FE167F"/>
    <w:rsid w:val="00FE19BD"/>
    <w:rsid w:val="00FE1DE9"/>
    <w:rsid w:val="00FE21A9"/>
    <w:rsid w:val="00FE339B"/>
    <w:rsid w:val="00FE39C2"/>
    <w:rsid w:val="00FE41A9"/>
    <w:rsid w:val="00FE45A5"/>
    <w:rsid w:val="00FE46D5"/>
    <w:rsid w:val="00FE5224"/>
    <w:rsid w:val="00FE5538"/>
    <w:rsid w:val="00FE5C8E"/>
    <w:rsid w:val="00FE5E52"/>
    <w:rsid w:val="00FE6163"/>
    <w:rsid w:val="00FE64AE"/>
    <w:rsid w:val="00FE69AC"/>
    <w:rsid w:val="00FE6E72"/>
    <w:rsid w:val="00FE7459"/>
    <w:rsid w:val="00FE7A35"/>
    <w:rsid w:val="00FF012B"/>
    <w:rsid w:val="00FF13ED"/>
    <w:rsid w:val="00FF1BE5"/>
    <w:rsid w:val="00FF2193"/>
    <w:rsid w:val="00FF24DB"/>
    <w:rsid w:val="00FF2522"/>
    <w:rsid w:val="00FF3201"/>
    <w:rsid w:val="00FF4638"/>
    <w:rsid w:val="00FF4E86"/>
    <w:rsid w:val="00FF5082"/>
    <w:rsid w:val="00FF5977"/>
    <w:rsid w:val="00FF5B3C"/>
    <w:rsid w:val="00FF5DE3"/>
    <w:rsid w:val="00FF60F5"/>
    <w:rsid w:val="00FF68FE"/>
    <w:rsid w:val="00FF6DF9"/>
    <w:rsid w:val="00FF6F75"/>
    <w:rsid w:val="00FF7D7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3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4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A"/>
    <w:rPr>
      <w:rFonts w:ascii="Arial" w:hAnsi="Arial"/>
    </w:rPr>
  </w:style>
  <w:style w:type="paragraph" w:styleId="Heading1">
    <w:name w:val="heading 1"/>
    <w:basedOn w:val="Normal"/>
    <w:next w:val="Normal"/>
    <w:link w:val="Heading1Char"/>
    <w:qFormat/>
    <w:rsid w:val="00E27642"/>
    <w:pPr>
      <w:numPr>
        <w:numId w:val="28"/>
      </w:numPr>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numPr>
        <w:ilvl w:val="1"/>
        <w:numId w:val="28"/>
      </w:num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12538F"/>
    <w:pPr>
      <w:numPr>
        <w:ilvl w:val="2"/>
        <w:numId w:val="28"/>
      </w:numPr>
      <w:outlineLvl w:val="2"/>
    </w:pPr>
    <w:rPr>
      <w:rFonts w:eastAsiaTheme="majorEastAsia" w:cstheme="majorBidi"/>
      <w:b/>
      <w:bCs/>
      <w:color w:val="000000" w:themeColor="text1" w:themeShade="BF"/>
    </w:rPr>
  </w:style>
  <w:style w:type="paragraph" w:styleId="Heading4">
    <w:name w:val="heading 4"/>
    <w:basedOn w:val="Normal"/>
    <w:next w:val="Normal"/>
    <w:link w:val="Heading4Char"/>
    <w:qFormat/>
    <w:rsid w:val="00E27642"/>
    <w:pPr>
      <w:numPr>
        <w:ilvl w:val="3"/>
        <w:numId w:val="28"/>
      </w:numPr>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numPr>
        <w:ilvl w:val="4"/>
        <w:numId w:val="28"/>
      </w:num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numPr>
        <w:ilvl w:val="5"/>
        <w:numId w:val="28"/>
      </w:numPr>
      <w:outlineLvl w:val="5"/>
    </w:pPr>
    <w:rPr>
      <w:rFonts w:eastAsiaTheme="majorEastAsia" w:cstheme="majorBidi"/>
      <w:b/>
      <w:i/>
      <w:iCs/>
    </w:rPr>
  </w:style>
  <w:style w:type="paragraph" w:styleId="Heading7">
    <w:name w:val="heading 7"/>
    <w:basedOn w:val="Normal"/>
    <w:next w:val="Normal"/>
    <w:link w:val="Heading7Char"/>
    <w:uiPriority w:val="2"/>
    <w:qFormat/>
    <w:rsid w:val="009D6B46"/>
    <w:pPr>
      <w:numPr>
        <w:ilvl w:val="6"/>
        <w:numId w:val="28"/>
      </w:numPr>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numPr>
        <w:ilvl w:val="7"/>
        <w:numId w:val="28"/>
      </w:numPr>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ilvl w:val="8"/>
        <w:numId w:val="28"/>
      </w:numPr>
      <w:tabs>
        <w:tab w:val="left" w:pos="340"/>
      </w:tabs>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12538F"/>
    <w:rPr>
      <w:rFonts w:ascii="Arial" w:eastAsiaTheme="majorEastAsia" w:hAnsi="Arial" w:cstheme="majorBidi"/>
      <w:b/>
      <w:bCs/>
      <w:color w:val="000000" w:themeColor="text1" w:themeShade="BF"/>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tabs>
        <w:tab w:val="left" w:pos="680"/>
      </w:tabs>
    </w:pPr>
  </w:style>
  <w:style w:type="paragraph" w:customStyle="1" w:styleId="Numbered11">
    <w:name w:val="Numbered 1.1"/>
    <w:basedOn w:val="Heading2"/>
    <w:next w:val="Normal"/>
    <w:qFormat/>
    <w:rsid w:val="00A323D9"/>
    <w:pPr>
      <w:tabs>
        <w:tab w:val="left" w:pos="1021"/>
      </w:tabs>
    </w:pPr>
    <w:rPr>
      <w:rFonts w:cs="Arial"/>
    </w:rPr>
  </w:style>
  <w:style w:type="paragraph" w:customStyle="1" w:styleId="Numbered111">
    <w:name w:val="Numbered 1.1.1"/>
    <w:basedOn w:val="Heading3"/>
    <w:next w:val="Normal"/>
    <w:qFormat/>
    <w:rsid w:val="00F61B84"/>
    <w:pPr>
      <w:tabs>
        <w:tab w:val="left" w:pos="1361"/>
      </w:tabs>
      <w:contextualSpacing/>
    </w:pPr>
  </w:style>
  <w:style w:type="paragraph" w:customStyle="1" w:styleId="Numbered1111">
    <w:name w:val="Numbered 1.1.1.1"/>
    <w:basedOn w:val="Heading4"/>
    <w:next w:val="Normal"/>
    <w:rsid w:val="00F61B84"/>
    <w:pPr>
      <w:tabs>
        <w:tab w:val="left" w:pos="1361"/>
      </w:tabs>
    </w:pPr>
  </w:style>
  <w:style w:type="paragraph" w:customStyle="1" w:styleId="Numbered11111">
    <w:name w:val="Numbered 1.1.1.1.1"/>
    <w:basedOn w:val="Heading5"/>
    <w:next w:val="Normal"/>
    <w:uiPriority w:val="2"/>
    <w:rsid w:val="00F61B84"/>
    <w:pPr>
      <w:tabs>
        <w:tab w:val="left" w:pos="1701"/>
      </w:tabs>
    </w:pPr>
  </w:style>
  <w:style w:type="paragraph" w:customStyle="1" w:styleId="Numbered111111">
    <w:name w:val="Numbered 1.1.1.1.1.1"/>
    <w:basedOn w:val="Heading6"/>
    <w:next w:val="Normal"/>
    <w:uiPriority w:val="2"/>
    <w:rsid w:val="00F61B84"/>
    <w:pPr>
      <w:tabs>
        <w:tab w:val="left" w:pos="1701"/>
      </w:tabs>
    </w:pPr>
  </w:style>
  <w:style w:type="paragraph" w:styleId="Header">
    <w:name w:val="header"/>
    <w:basedOn w:val="Normal"/>
    <w:link w:val="HeaderChar"/>
    <w:uiPriority w:val="99"/>
    <w:unhideWhenUsed/>
    <w:qFormat/>
    <w:rsid w:val="00E27642"/>
    <w:pPr>
      <w:tabs>
        <w:tab w:val="center" w:pos="4513"/>
        <w:tab w:val="right" w:pos="9026"/>
      </w:tabs>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1"/>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2"/>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aliases w:val="Bullet Point,L,List Bullet Cab,List Paragraph - bullets,List Paragraph1,List Paragraph11,NFP GP Bulleted List,Recommendation,Use Case List Paragraph,Content descriptions,CV text,F5 List Paragraph,Dot point list,List Paragraph2,FooterText"/>
    <w:basedOn w:val="Normal"/>
    <w:link w:val="ListParagraphChar"/>
    <w:uiPriority w:val="34"/>
    <w:qFormat/>
    <w:rsid w:val="00F61B84"/>
    <w:p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tabs>
        <w:tab w:val="left" w:pos="2041"/>
      </w:tabs>
    </w:pPr>
  </w:style>
  <w:style w:type="paragraph" w:customStyle="1" w:styleId="Numbered11111111">
    <w:name w:val="Numbered 1.1.1.1.1.1.1.1"/>
    <w:basedOn w:val="Heading8"/>
    <w:next w:val="Normal"/>
    <w:uiPriority w:val="2"/>
    <w:rsid w:val="00F61B84"/>
    <w:pPr>
      <w:tabs>
        <w:tab w:val="left" w:pos="2041"/>
      </w:tabs>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0C1872"/>
    <w:pPr>
      <w:tabs>
        <w:tab w:val="left" w:pos="426"/>
        <w:tab w:val="right" w:leader="dot" w:pos="9016"/>
      </w:tabs>
      <w:spacing w:before="0" w:after="4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numId w:val="0"/>
      </w:numPr>
      <w:tabs>
        <w:tab w:val="left" w:pos="2381"/>
      </w:tabs>
    </w:pPr>
  </w:style>
  <w:style w:type="paragraph" w:styleId="Caption">
    <w:name w:val="caption"/>
    <w:basedOn w:val="Normal"/>
    <w:next w:val="Normal"/>
    <w:uiPriority w:val="35"/>
    <w:unhideWhenUsed/>
    <w:qFormat/>
    <w:rsid w:val="00B1716D"/>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2"/>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outlineLvl w:val="9"/>
    </w:pPr>
    <w:rPr>
      <w:bCs w:val="0"/>
      <w:color w:val="auto"/>
      <w:sz w:val="22"/>
    </w:rPr>
  </w:style>
  <w:style w:type="character" w:customStyle="1" w:styleId="Numbered1Char">
    <w:name w:val="Numbered 1 Char"/>
    <w:basedOn w:val="Heading1Char"/>
    <w:link w:val="Numbered1"/>
    <w:rsid w:val="00F61B84"/>
    <w:rPr>
      <w:rFonts w:ascii="Palatino Linotype" w:eastAsiaTheme="majorEastAsia" w:hAnsi="Palatino Linotype" w:cstheme="majorBidi"/>
      <w:bCs/>
      <w:color w:val="410099" w:themeColor="accent1"/>
      <w:sz w:val="36"/>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1"/>
      </w:numPr>
      <w:tabs>
        <w:tab w:val="left" w:pos="680"/>
      </w:tabs>
      <w:spacing w:before="120"/>
    </w:pPr>
    <w:rPr>
      <w:rFonts w:ascii="Arial" w:hAnsi="Arial"/>
    </w:rPr>
  </w:style>
  <w:style w:type="paragraph" w:customStyle="1" w:styleId="Listalphabet3">
    <w:name w:val="List alphabet 3"/>
    <w:rsid w:val="00CF799E"/>
    <w:pPr>
      <w:numPr>
        <w:numId w:val="17"/>
      </w:numPr>
      <w:tabs>
        <w:tab w:val="left" w:pos="1021"/>
      </w:tabs>
      <w:spacing w:before="120"/>
    </w:pPr>
    <w:rPr>
      <w:rFonts w:ascii="Arial" w:hAnsi="Arial"/>
    </w:rPr>
  </w:style>
  <w:style w:type="paragraph" w:customStyle="1" w:styleId="Listalphabet4">
    <w:name w:val="List alphabet 4"/>
    <w:rsid w:val="00CF799E"/>
    <w:pPr>
      <w:numPr>
        <w:numId w:val="18"/>
      </w:numPr>
      <w:tabs>
        <w:tab w:val="left" w:pos="1361"/>
      </w:tabs>
      <w:spacing w:before="120"/>
    </w:pPr>
    <w:rPr>
      <w:rFonts w:ascii="Arial" w:hAnsi="Arial"/>
    </w:rPr>
  </w:style>
  <w:style w:type="paragraph" w:customStyle="1" w:styleId="Listalphabet5">
    <w:name w:val="List alphabet 5"/>
    <w:rsid w:val="00CF799E"/>
    <w:pPr>
      <w:numPr>
        <w:numId w:val="19"/>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0"/>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3"/>
      </w:numPr>
      <w:tabs>
        <w:tab w:val="clear" w:pos="340"/>
        <w:tab w:val="left" w:pos="680"/>
      </w:tabs>
    </w:pPr>
  </w:style>
  <w:style w:type="paragraph" w:customStyle="1" w:styleId="ListLegal2">
    <w:name w:val="List Legal 2"/>
    <w:basedOn w:val="ListLegal"/>
    <w:rsid w:val="00C06739"/>
    <w:pPr>
      <w:numPr>
        <w:numId w:val="14"/>
      </w:numPr>
      <w:tabs>
        <w:tab w:val="clear" w:pos="680"/>
        <w:tab w:val="left" w:pos="1021"/>
      </w:tabs>
    </w:pPr>
  </w:style>
  <w:style w:type="paragraph" w:customStyle="1" w:styleId="ListLegal3">
    <w:name w:val="List Legal 3"/>
    <w:basedOn w:val="ListNumber3"/>
    <w:rsid w:val="00CF799E"/>
    <w:pPr>
      <w:numPr>
        <w:numId w:val="13"/>
      </w:numPr>
      <w:tabs>
        <w:tab w:val="clear" w:pos="1021"/>
        <w:tab w:val="left" w:pos="1361"/>
      </w:tabs>
    </w:pPr>
  </w:style>
  <w:style w:type="paragraph" w:customStyle="1" w:styleId="ListLegal4">
    <w:name w:val="List Legal 4"/>
    <w:basedOn w:val="ListLegal3"/>
    <w:rsid w:val="00CF799E"/>
    <w:pPr>
      <w:numPr>
        <w:numId w:val="15"/>
      </w:numPr>
      <w:tabs>
        <w:tab w:val="clear" w:pos="1361"/>
        <w:tab w:val="left" w:pos="1701"/>
      </w:tabs>
    </w:pPr>
  </w:style>
  <w:style w:type="paragraph" w:customStyle="1" w:styleId="ListLegal5">
    <w:name w:val="List Legal 5"/>
    <w:basedOn w:val="ListLegal4"/>
    <w:rsid w:val="000F2368"/>
    <w:pPr>
      <w:numPr>
        <w:numId w:val="24"/>
      </w:numPr>
      <w:tabs>
        <w:tab w:val="clear" w:pos="1701"/>
        <w:tab w:val="left" w:pos="2041"/>
      </w:tabs>
    </w:pPr>
  </w:style>
  <w:style w:type="paragraph" w:customStyle="1" w:styleId="LegalNumbering">
    <w:name w:val="Legal Numbering"/>
    <w:basedOn w:val="Normal"/>
    <w:qFormat/>
    <w:rsid w:val="0002115F"/>
    <w:pPr>
      <w:numPr>
        <w:numId w:val="16"/>
      </w:numPr>
      <w:tabs>
        <w:tab w:val="left" w:pos="340"/>
        <w:tab w:val="left" w:pos="680"/>
        <w:tab w:val="left" w:pos="1021"/>
        <w:tab w:val="left" w:pos="1361"/>
      </w:tabs>
    </w:pPr>
  </w:style>
  <w:style w:type="character" w:styleId="CommentReference">
    <w:name w:val="annotation reference"/>
    <w:basedOn w:val="DefaultParagraphFont"/>
    <w:uiPriority w:val="99"/>
    <w:semiHidden/>
    <w:unhideWhenUsed/>
    <w:rsid w:val="00003445"/>
    <w:rPr>
      <w:sz w:val="16"/>
      <w:szCs w:val="16"/>
    </w:rPr>
  </w:style>
  <w:style w:type="paragraph" w:styleId="CommentText">
    <w:name w:val="annotation text"/>
    <w:basedOn w:val="Normal"/>
    <w:link w:val="CommentTextChar"/>
    <w:uiPriority w:val="99"/>
    <w:unhideWhenUsed/>
    <w:rsid w:val="00003445"/>
    <w:rPr>
      <w:sz w:val="20"/>
      <w:szCs w:val="20"/>
    </w:rPr>
  </w:style>
  <w:style w:type="character" w:customStyle="1" w:styleId="CommentTextChar">
    <w:name w:val="Comment Text Char"/>
    <w:basedOn w:val="DefaultParagraphFont"/>
    <w:link w:val="CommentText"/>
    <w:uiPriority w:val="99"/>
    <w:rsid w:val="0000344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03445"/>
    <w:rPr>
      <w:b/>
      <w:bCs/>
    </w:rPr>
  </w:style>
  <w:style w:type="character" w:customStyle="1" w:styleId="CommentSubjectChar">
    <w:name w:val="Comment Subject Char"/>
    <w:basedOn w:val="CommentTextChar"/>
    <w:link w:val="CommentSubject"/>
    <w:uiPriority w:val="99"/>
    <w:semiHidden/>
    <w:rsid w:val="00003445"/>
    <w:rPr>
      <w:rFonts w:ascii="Arial" w:hAnsi="Arial"/>
      <w:b/>
      <w:bCs/>
      <w:sz w:val="20"/>
      <w:szCs w:val="20"/>
    </w:rPr>
  </w:style>
  <w:style w:type="character" w:customStyle="1" w:styleId="UnresolvedMention1">
    <w:name w:val="Unresolved Mention1"/>
    <w:basedOn w:val="DefaultParagraphFont"/>
    <w:uiPriority w:val="99"/>
    <w:semiHidden/>
    <w:unhideWhenUsed/>
    <w:rsid w:val="0039294A"/>
    <w:rPr>
      <w:color w:val="605E5C"/>
      <w:shd w:val="clear" w:color="auto" w:fill="E1DFDD"/>
    </w:rPr>
  </w:style>
  <w:style w:type="table" w:styleId="GridTable1Light">
    <w:name w:val="Grid Table 1 Light"/>
    <w:basedOn w:val="TableNormal"/>
    <w:uiPriority w:val="46"/>
    <w:rsid w:val="0087711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B67856"/>
    <w:pPr>
      <w:spacing w:before="0" w:after="0"/>
    </w:pPr>
    <w:rPr>
      <w:rFonts w:ascii="Arial" w:hAnsi="Arial"/>
    </w:rPr>
  </w:style>
  <w:style w:type="paragraph" w:customStyle="1" w:styleId="Default">
    <w:name w:val="Default"/>
    <w:rsid w:val="000679E9"/>
    <w:pPr>
      <w:autoSpaceDE w:val="0"/>
      <w:autoSpaceDN w:val="0"/>
      <w:adjustRightInd w:val="0"/>
      <w:spacing w:before="0" w:after="0"/>
    </w:pPr>
    <w:rPr>
      <w:rFonts w:ascii="Arial" w:hAnsi="Arial" w:cs="Arial"/>
      <w:color w:val="000000"/>
      <w:sz w:val="24"/>
      <w:szCs w:val="24"/>
    </w:rPr>
  </w:style>
  <w:style w:type="paragraph" w:customStyle="1" w:styleId="Pa6">
    <w:name w:val="Pa6"/>
    <w:basedOn w:val="Default"/>
    <w:next w:val="Default"/>
    <w:uiPriority w:val="99"/>
    <w:rsid w:val="00532D27"/>
    <w:pPr>
      <w:spacing w:line="191" w:lineRule="atLeast"/>
    </w:pPr>
    <w:rPr>
      <w:rFonts w:ascii="Gotham Light" w:hAnsi="Gotham Light" w:cstheme="minorBidi"/>
      <w:color w:val="auto"/>
    </w:rPr>
  </w:style>
  <w:style w:type="character" w:customStyle="1" w:styleId="ListParagraphChar">
    <w:name w:val="List Paragraph Char"/>
    <w:aliases w:val="Bullet Point Char,L Char,List Bullet Cab Char,List Paragraph - bullets Char,List Paragraph1 Char,List Paragraph11 Char,NFP GP Bulleted List Char,Recommendation Char,Use Case List Paragraph Char,Content descriptions Char,CV text Char"/>
    <w:basedOn w:val="DefaultParagraphFont"/>
    <w:link w:val="ListParagraph"/>
    <w:uiPriority w:val="34"/>
    <w:qFormat/>
    <w:locked/>
    <w:rsid w:val="00423912"/>
    <w:rPr>
      <w:rFonts w:ascii="Arial" w:hAnsi="Arial"/>
    </w:rPr>
  </w:style>
  <w:style w:type="paragraph" w:styleId="NormalWeb">
    <w:name w:val="Normal (Web)"/>
    <w:basedOn w:val="Normal"/>
    <w:uiPriority w:val="99"/>
    <w:unhideWhenUsed/>
    <w:rsid w:val="00FF13ED"/>
    <w:pPr>
      <w:spacing w:before="100" w:beforeAutospacing="1" w:after="100" w:afterAutospacing="1"/>
    </w:pPr>
    <w:rPr>
      <w:rFonts w:ascii="Times New Roman" w:eastAsia="Times New Roman" w:hAnsi="Times New Roman" w:cs="Times New Roman"/>
      <w:sz w:val="24"/>
      <w:szCs w:val="24"/>
      <w:lang w:eastAsia="en-AU"/>
    </w:rPr>
  </w:style>
  <w:style w:type="table" w:styleId="PlainTable4">
    <w:name w:val="Plain Table 4"/>
    <w:basedOn w:val="TableNormal"/>
    <w:uiPriority w:val="44"/>
    <w:rsid w:val="00FE5E5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421F3"/>
    <w:pPr>
      <w:spacing w:before="200"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AA528E"/>
    <w:rPr>
      <w:color w:val="800080" w:themeColor="followedHyperlink"/>
      <w:u w:val="single"/>
    </w:rPr>
  </w:style>
  <w:style w:type="character" w:customStyle="1" w:styleId="vanchor-text">
    <w:name w:val="vanchor-text"/>
    <w:basedOn w:val="DefaultParagraphFont"/>
    <w:rsid w:val="004E534C"/>
  </w:style>
  <w:style w:type="numbering" w:customStyle="1" w:styleId="Style1">
    <w:name w:val="Style1"/>
    <w:uiPriority w:val="99"/>
    <w:rsid w:val="00727A1F"/>
    <w:pPr>
      <w:numPr>
        <w:numId w:val="29"/>
      </w:numPr>
    </w:pPr>
  </w:style>
  <w:style w:type="table" w:styleId="TableGridLight">
    <w:name w:val="Grid Table Light"/>
    <w:basedOn w:val="TableNormal"/>
    <w:uiPriority w:val="40"/>
    <w:rsid w:val="0033765F"/>
    <w:pPr>
      <w:spacing w:before="200"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
    <w:name w:val="Grid Table 2"/>
    <w:basedOn w:val="TableNormal"/>
    <w:uiPriority w:val="47"/>
    <w:rsid w:val="00D57AA9"/>
    <w:pPr>
      <w:spacing w:after="0"/>
    </w:p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C33FC3"/>
    <w:pPr>
      <w:spacing w:after="0"/>
    </w:pPr>
    <w:tblPr>
      <w:tblStyleRowBandSize w:val="1"/>
      <w:tblStyleColBandSize w:val="1"/>
      <w:tblBorders>
        <w:top w:val="single" w:sz="2" w:space="0" w:color="796DAB" w:themeColor="accent3" w:themeTint="99"/>
        <w:bottom w:val="single" w:sz="2" w:space="0" w:color="796DAB" w:themeColor="accent3" w:themeTint="99"/>
        <w:insideH w:val="single" w:sz="2" w:space="0" w:color="796DAB" w:themeColor="accent3" w:themeTint="99"/>
        <w:insideV w:val="single" w:sz="2" w:space="0" w:color="796DAB" w:themeColor="accent3" w:themeTint="99"/>
      </w:tblBorders>
    </w:tblPr>
    <w:tblStylePr w:type="firstRow">
      <w:rPr>
        <w:b/>
        <w:bCs/>
      </w:rPr>
      <w:tblPr/>
      <w:tcPr>
        <w:tcBorders>
          <w:top w:val="nil"/>
          <w:bottom w:val="single" w:sz="12" w:space="0" w:color="796DAB" w:themeColor="accent3" w:themeTint="99"/>
          <w:insideH w:val="nil"/>
          <w:insideV w:val="nil"/>
        </w:tcBorders>
        <w:shd w:val="clear" w:color="auto" w:fill="FFFFFF" w:themeFill="background1"/>
      </w:tcPr>
    </w:tblStylePr>
    <w:tblStylePr w:type="lastRow">
      <w:rPr>
        <w:b/>
        <w:bCs/>
      </w:rPr>
      <w:tblPr/>
      <w:tcPr>
        <w:tcBorders>
          <w:top w:val="double" w:sz="2" w:space="0" w:color="796DA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CEE3" w:themeFill="accent3" w:themeFillTint="33"/>
      </w:tcPr>
    </w:tblStylePr>
    <w:tblStylePr w:type="band1Horz">
      <w:tblPr/>
      <w:tcPr>
        <w:shd w:val="clear" w:color="auto" w:fill="D2CEE3" w:themeFill="accent3" w:themeFillTint="33"/>
      </w:tcPr>
    </w:tblStylePr>
  </w:style>
  <w:style w:type="character" w:customStyle="1" w:styleId="contentpasted1">
    <w:name w:val="contentpasted1"/>
    <w:basedOn w:val="DefaultParagraphFont"/>
    <w:rsid w:val="00A75BC8"/>
  </w:style>
  <w:style w:type="character" w:customStyle="1" w:styleId="UnresolvedMention">
    <w:name w:val="Unresolved Mention"/>
    <w:basedOn w:val="DefaultParagraphFont"/>
    <w:uiPriority w:val="99"/>
    <w:semiHidden/>
    <w:unhideWhenUsed/>
    <w:rsid w:val="00BB536A"/>
    <w:rPr>
      <w:color w:val="605E5C"/>
      <w:shd w:val="clear" w:color="auto" w:fill="E1DFDD"/>
    </w:rPr>
  </w:style>
  <w:style w:type="paragraph" w:styleId="BodyText">
    <w:name w:val="Body Text"/>
    <w:basedOn w:val="Normal"/>
    <w:link w:val="BodyTextChar"/>
    <w:uiPriority w:val="99"/>
    <w:rsid w:val="00F86605"/>
    <w:pPr>
      <w:spacing w:before="200"/>
    </w:pPr>
  </w:style>
  <w:style w:type="character" w:customStyle="1" w:styleId="BodyTextChar">
    <w:name w:val="Body Text Char"/>
    <w:basedOn w:val="DefaultParagraphFont"/>
    <w:link w:val="BodyText"/>
    <w:uiPriority w:val="99"/>
    <w:rsid w:val="00F86605"/>
    <w:rPr>
      <w:rFonts w:ascii="Arial" w:hAnsi="Arial"/>
    </w:rPr>
  </w:style>
  <w:style w:type="character" w:customStyle="1" w:styleId="ui-provider">
    <w:name w:val="ui-provider"/>
    <w:basedOn w:val="DefaultParagraphFont"/>
    <w:rsid w:val="00AA0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2467">
      <w:bodyDiv w:val="1"/>
      <w:marLeft w:val="0"/>
      <w:marRight w:val="0"/>
      <w:marTop w:val="0"/>
      <w:marBottom w:val="0"/>
      <w:divBdr>
        <w:top w:val="none" w:sz="0" w:space="0" w:color="auto"/>
        <w:left w:val="none" w:sz="0" w:space="0" w:color="auto"/>
        <w:bottom w:val="none" w:sz="0" w:space="0" w:color="auto"/>
        <w:right w:val="none" w:sz="0" w:space="0" w:color="auto"/>
      </w:divBdr>
    </w:div>
    <w:div w:id="99296777">
      <w:bodyDiv w:val="1"/>
      <w:marLeft w:val="0"/>
      <w:marRight w:val="0"/>
      <w:marTop w:val="0"/>
      <w:marBottom w:val="0"/>
      <w:divBdr>
        <w:top w:val="none" w:sz="0" w:space="0" w:color="auto"/>
        <w:left w:val="none" w:sz="0" w:space="0" w:color="auto"/>
        <w:bottom w:val="none" w:sz="0" w:space="0" w:color="auto"/>
        <w:right w:val="none" w:sz="0" w:space="0" w:color="auto"/>
      </w:divBdr>
    </w:div>
    <w:div w:id="157312546">
      <w:bodyDiv w:val="1"/>
      <w:marLeft w:val="0"/>
      <w:marRight w:val="0"/>
      <w:marTop w:val="0"/>
      <w:marBottom w:val="0"/>
      <w:divBdr>
        <w:top w:val="none" w:sz="0" w:space="0" w:color="auto"/>
        <w:left w:val="none" w:sz="0" w:space="0" w:color="auto"/>
        <w:bottom w:val="none" w:sz="0" w:space="0" w:color="auto"/>
        <w:right w:val="none" w:sz="0" w:space="0" w:color="auto"/>
      </w:divBdr>
    </w:div>
    <w:div w:id="158814578">
      <w:bodyDiv w:val="1"/>
      <w:marLeft w:val="0"/>
      <w:marRight w:val="0"/>
      <w:marTop w:val="0"/>
      <w:marBottom w:val="0"/>
      <w:divBdr>
        <w:top w:val="none" w:sz="0" w:space="0" w:color="auto"/>
        <w:left w:val="none" w:sz="0" w:space="0" w:color="auto"/>
        <w:bottom w:val="none" w:sz="0" w:space="0" w:color="auto"/>
        <w:right w:val="none" w:sz="0" w:space="0" w:color="auto"/>
      </w:divBdr>
    </w:div>
    <w:div w:id="214438119">
      <w:bodyDiv w:val="1"/>
      <w:marLeft w:val="0"/>
      <w:marRight w:val="0"/>
      <w:marTop w:val="0"/>
      <w:marBottom w:val="0"/>
      <w:divBdr>
        <w:top w:val="none" w:sz="0" w:space="0" w:color="auto"/>
        <w:left w:val="none" w:sz="0" w:space="0" w:color="auto"/>
        <w:bottom w:val="none" w:sz="0" w:space="0" w:color="auto"/>
        <w:right w:val="none" w:sz="0" w:space="0" w:color="auto"/>
      </w:divBdr>
    </w:div>
    <w:div w:id="227767662">
      <w:bodyDiv w:val="1"/>
      <w:marLeft w:val="0"/>
      <w:marRight w:val="0"/>
      <w:marTop w:val="0"/>
      <w:marBottom w:val="0"/>
      <w:divBdr>
        <w:top w:val="none" w:sz="0" w:space="0" w:color="auto"/>
        <w:left w:val="none" w:sz="0" w:space="0" w:color="auto"/>
        <w:bottom w:val="none" w:sz="0" w:space="0" w:color="auto"/>
        <w:right w:val="none" w:sz="0" w:space="0" w:color="auto"/>
      </w:divBdr>
    </w:div>
    <w:div w:id="302660021">
      <w:bodyDiv w:val="1"/>
      <w:marLeft w:val="0"/>
      <w:marRight w:val="0"/>
      <w:marTop w:val="0"/>
      <w:marBottom w:val="0"/>
      <w:divBdr>
        <w:top w:val="none" w:sz="0" w:space="0" w:color="auto"/>
        <w:left w:val="none" w:sz="0" w:space="0" w:color="auto"/>
        <w:bottom w:val="none" w:sz="0" w:space="0" w:color="auto"/>
        <w:right w:val="none" w:sz="0" w:space="0" w:color="auto"/>
      </w:divBdr>
    </w:div>
    <w:div w:id="353072525">
      <w:bodyDiv w:val="1"/>
      <w:marLeft w:val="0"/>
      <w:marRight w:val="0"/>
      <w:marTop w:val="0"/>
      <w:marBottom w:val="0"/>
      <w:divBdr>
        <w:top w:val="none" w:sz="0" w:space="0" w:color="auto"/>
        <w:left w:val="none" w:sz="0" w:space="0" w:color="auto"/>
        <w:bottom w:val="none" w:sz="0" w:space="0" w:color="auto"/>
        <w:right w:val="none" w:sz="0" w:space="0" w:color="auto"/>
      </w:divBdr>
    </w:div>
    <w:div w:id="367267908">
      <w:bodyDiv w:val="1"/>
      <w:marLeft w:val="0"/>
      <w:marRight w:val="0"/>
      <w:marTop w:val="0"/>
      <w:marBottom w:val="0"/>
      <w:divBdr>
        <w:top w:val="none" w:sz="0" w:space="0" w:color="auto"/>
        <w:left w:val="none" w:sz="0" w:space="0" w:color="auto"/>
        <w:bottom w:val="none" w:sz="0" w:space="0" w:color="auto"/>
        <w:right w:val="none" w:sz="0" w:space="0" w:color="auto"/>
      </w:divBdr>
    </w:div>
    <w:div w:id="387345610">
      <w:bodyDiv w:val="1"/>
      <w:marLeft w:val="0"/>
      <w:marRight w:val="0"/>
      <w:marTop w:val="0"/>
      <w:marBottom w:val="0"/>
      <w:divBdr>
        <w:top w:val="none" w:sz="0" w:space="0" w:color="auto"/>
        <w:left w:val="none" w:sz="0" w:space="0" w:color="auto"/>
        <w:bottom w:val="none" w:sz="0" w:space="0" w:color="auto"/>
        <w:right w:val="none" w:sz="0" w:space="0" w:color="auto"/>
      </w:divBdr>
    </w:div>
    <w:div w:id="407382779">
      <w:bodyDiv w:val="1"/>
      <w:marLeft w:val="0"/>
      <w:marRight w:val="0"/>
      <w:marTop w:val="0"/>
      <w:marBottom w:val="0"/>
      <w:divBdr>
        <w:top w:val="none" w:sz="0" w:space="0" w:color="auto"/>
        <w:left w:val="none" w:sz="0" w:space="0" w:color="auto"/>
        <w:bottom w:val="none" w:sz="0" w:space="0" w:color="auto"/>
        <w:right w:val="none" w:sz="0" w:space="0" w:color="auto"/>
      </w:divBdr>
    </w:div>
    <w:div w:id="428354228">
      <w:bodyDiv w:val="1"/>
      <w:marLeft w:val="0"/>
      <w:marRight w:val="0"/>
      <w:marTop w:val="0"/>
      <w:marBottom w:val="0"/>
      <w:divBdr>
        <w:top w:val="none" w:sz="0" w:space="0" w:color="auto"/>
        <w:left w:val="none" w:sz="0" w:space="0" w:color="auto"/>
        <w:bottom w:val="none" w:sz="0" w:space="0" w:color="auto"/>
        <w:right w:val="none" w:sz="0" w:space="0" w:color="auto"/>
      </w:divBdr>
    </w:div>
    <w:div w:id="441924371">
      <w:bodyDiv w:val="1"/>
      <w:marLeft w:val="0"/>
      <w:marRight w:val="0"/>
      <w:marTop w:val="0"/>
      <w:marBottom w:val="0"/>
      <w:divBdr>
        <w:top w:val="none" w:sz="0" w:space="0" w:color="auto"/>
        <w:left w:val="none" w:sz="0" w:space="0" w:color="auto"/>
        <w:bottom w:val="none" w:sz="0" w:space="0" w:color="auto"/>
        <w:right w:val="none" w:sz="0" w:space="0" w:color="auto"/>
      </w:divBdr>
    </w:div>
    <w:div w:id="451826570">
      <w:bodyDiv w:val="1"/>
      <w:marLeft w:val="0"/>
      <w:marRight w:val="0"/>
      <w:marTop w:val="0"/>
      <w:marBottom w:val="0"/>
      <w:divBdr>
        <w:top w:val="none" w:sz="0" w:space="0" w:color="auto"/>
        <w:left w:val="none" w:sz="0" w:space="0" w:color="auto"/>
        <w:bottom w:val="none" w:sz="0" w:space="0" w:color="auto"/>
        <w:right w:val="none" w:sz="0" w:space="0" w:color="auto"/>
      </w:divBdr>
    </w:div>
    <w:div w:id="481702136">
      <w:bodyDiv w:val="1"/>
      <w:marLeft w:val="0"/>
      <w:marRight w:val="0"/>
      <w:marTop w:val="0"/>
      <w:marBottom w:val="0"/>
      <w:divBdr>
        <w:top w:val="none" w:sz="0" w:space="0" w:color="auto"/>
        <w:left w:val="none" w:sz="0" w:space="0" w:color="auto"/>
        <w:bottom w:val="none" w:sz="0" w:space="0" w:color="auto"/>
        <w:right w:val="none" w:sz="0" w:space="0" w:color="auto"/>
      </w:divBdr>
    </w:div>
    <w:div w:id="502860283">
      <w:bodyDiv w:val="1"/>
      <w:marLeft w:val="0"/>
      <w:marRight w:val="0"/>
      <w:marTop w:val="0"/>
      <w:marBottom w:val="0"/>
      <w:divBdr>
        <w:top w:val="none" w:sz="0" w:space="0" w:color="auto"/>
        <w:left w:val="none" w:sz="0" w:space="0" w:color="auto"/>
        <w:bottom w:val="none" w:sz="0" w:space="0" w:color="auto"/>
        <w:right w:val="none" w:sz="0" w:space="0" w:color="auto"/>
      </w:divBdr>
    </w:div>
    <w:div w:id="514148601">
      <w:bodyDiv w:val="1"/>
      <w:marLeft w:val="0"/>
      <w:marRight w:val="0"/>
      <w:marTop w:val="0"/>
      <w:marBottom w:val="0"/>
      <w:divBdr>
        <w:top w:val="none" w:sz="0" w:space="0" w:color="auto"/>
        <w:left w:val="none" w:sz="0" w:space="0" w:color="auto"/>
        <w:bottom w:val="none" w:sz="0" w:space="0" w:color="auto"/>
        <w:right w:val="none" w:sz="0" w:space="0" w:color="auto"/>
      </w:divBdr>
    </w:div>
    <w:div w:id="530264770">
      <w:bodyDiv w:val="1"/>
      <w:marLeft w:val="0"/>
      <w:marRight w:val="0"/>
      <w:marTop w:val="0"/>
      <w:marBottom w:val="0"/>
      <w:divBdr>
        <w:top w:val="none" w:sz="0" w:space="0" w:color="auto"/>
        <w:left w:val="none" w:sz="0" w:space="0" w:color="auto"/>
        <w:bottom w:val="none" w:sz="0" w:space="0" w:color="auto"/>
        <w:right w:val="none" w:sz="0" w:space="0" w:color="auto"/>
      </w:divBdr>
    </w:div>
    <w:div w:id="545335179">
      <w:bodyDiv w:val="1"/>
      <w:marLeft w:val="0"/>
      <w:marRight w:val="0"/>
      <w:marTop w:val="0"/>
      <w:marBottom w:val="0"/>
      <w:divBdr>
        <w:top w:val="none" w:sz="0" w:space="0" w:color="auto"/>
        <w:left w:val="none" w:sz="0" w:space="0" w:color="auto"/>
        <w:bottom w:val="none" w:sz="0" w:space="0" w:color="auto"/>
        <w:right w:val="none" w:sz="0" w:space="0" w:color="auto"/>
      </w:divBdr>
    </w:div>
    <w:div w:id="563444686">
      <w:bodyDiv w:val="1"/>
      <w:marLeft w:val="0"/>
      <w:marRight w:val="0"/>
      <w:marTop w:val="0"/>
      <w:marBottom w:val="0"/>
      <w:divBdr>
        <w:top w:val="none" w:sz="0" w:space="0" w:color="auto"/>
        <w:left w:val="none" w:sz="0" w:space="0" w:color="auto"/>
        <w:bottom w:val="none" w:sz="0" w:space="0" w:color="auto"/>
        <w:right w:val="none" w:sz="0" w:space="0" w:color="auto"/>
      </w:divBdr>
    </w:div>
    <w:div w:id="579366100">
      <w:bodyDiv w:val="1"/>
      <w:marLeft w:val="0"/>
      <w:marRight w:val="0"/>
      <w:marTop w:val="0"/>
      <w:marBottom w:val="0"/>
      <w:divBdr>
        <w:top w:val="none" w:sz="0" w:space="0" w:color="auto"/>
        <w:left w:val="none" w:sz="0" w:space="0" w:color="auto"/>
        <w:bottom w:val="none" w:sz="0" w:space="0" w:color="auto"/>
        <w:right w:val="none" w:sz="0" w:space="0" w:color="auto"/>
      </w:divBdr>
    </w:div>
    <w:div w:id="582833781">
      <w:bodyDiv w:val="1"/>
      <w:marLeft w:val="0"/>
      <w:marRight w:val="0"/>
      <w:marTop w:val="0"/>
      <w:marBottom w:val="0"/>
      <w:divBdr>
        <w:top w:val="none" w:sz="0" w:space="0" w:color="auto"/>
        <w:left w:val="none" w:sz="0" w:space="0" w:color="auto"/>
        <w:bottom w:val="none" w:sz="0" w:space="0" w:color="auto"/>
        <w:right w:val="none" w:sz="0" w:space="0" w:color="auto"/>
      </w:divBdr>
    </w:div>
    <w:div w:id="682321958">
      <w:bodyDiv w:val="1"/>
      <w:marLeft w:val="0"/>
      <w:marRight w:val="0"/>
      <w:marTop w:val="0"/>
      <w:marBottom w:val="0"/>
      <w:divBdr>
        <w:top w:val="none" w:sz="0" w:space="0" w:color="auto"/>
        <w:left w:val="none" w:sz="0" w:space="0" w:color="auto"/>
        <w:bottom w:val="none" w:sz="0" w:space="0" w:color="auto"/>
        <w:right w:val="none" w:sz="0" w:space="0" w:color="auto"/>
      </w:divBdr>
    </w:div>
    <w:div w:id="744305066">
      <w:bodyDiv w:val="1"/>
      <w:marLeft w:val="0"/>
      <w:marRight w:val="0"/>
      <w:marTop w:val="0"/>
      <w:marBottom w:val="0"/>
      <w:divBdr>
        <w:top w:val="none" w:sz="0" w:space="0" w:color="auto"/>
        <w:left w:val="none" w:sz="0" w:space="0" w:color="auto"/>
        <w:bottom w:val="none" w:sz="0" w:space="0" w:color="auto"/>
        <w:right w:val="none" w:sz="0" w:space="0" w:color="auto"/>
      </w:divBdr>
    </w:div>
    <w:div w:id="789398528">
      <w:bodyDiv w:val="1"/>
      <w:marLeft w:val="0"/>
      <w:marRight w:val="0"/>
      <w:marTop w:val="0"/>
      <w:marBottom w:val="0"/>
      <w:divBdr>
        <w:top w:val="none" w:sz="0" w:space="0" w:color="auto"/>
        <w:left w:val="none" w:sz="0" w:space="0" w:color="auto"/>
        <w:bottom w:val="none" w:sz="0" w:space="0" w:color="auto"/>
        <w:right w:val="none" w:sz="0" w:space="0" w:color="auto"/>
      </w:divBdr>
    </w:div>
    <w:div w:id="802236737">
      <w:bodyDiv w:val="1"/>
      <w:marLeft w:val="0"/>
      <w:marRight w:val="0"/>
      <w:marTop w:val="0"/>
      <w:marBottom w:val="0"/>
      <w:divBdr>
        <w:top w:val="none" w:sz="0" w:space="0" w:color="auto"/>
        <w:left w:val="none" w:sz="0" w:space="0" w:color="auto"/>
        <w:bottom w:val="none" w:sz="0" w:space="0" w:color="auto"/>
        <w:right w:val="none" w:sz="0" w:space="0" w:color="auto"/>
      </w:divBdr>
    </w:div>
    <w:div w:id="806361591">
      <w:bodyDiv w:val="1"/>
      <w:marLeft w:val="0"/>
      <w:marRight w:val="0"/>
      <w:marTop w:val="0"/>
      <w:marBottom w:val="0"/>
      <w:divBdr>
        <w:top w:val="none" w:sz="0" w:space="0" w:color="auto"/>
        <w:left w:val="none" w:sz="0" w:space="0" w:color="auto"/>
        <w:bottom w:val="none" w:sz="0" w:space="0" w:color="auto"/>
        <w:right w:val="none" w:sz="0" w:space="0" w:color="auto"/>
      </w:divBdr>
    </w:div>
    <w:div w:id="815147525">
      <w:bodyDiv w:val="1"/>
      <w:marLeft w:val="0"/>
      <w:marRight w:val="0"/>
      <w:marTop w:val="0"/>
      <w:marBottom w:val="0"/>
      <w:divBdr>
        <w:top w:val="none" w:sz="0" w:space="0" w:color="auto"/>
        <w:left w:val="none" w:sz="0" w:space="0" w:color="auto"/>
        <w:bottom w:val="none" w:sz="0" w:space="0" w:color="auto"/>
        <w:right w:val="none" w:sz="0" w:space="0" w:color="auto"/>
      </w:divBdr>
    </w:div>
    <w:div w:id="827554106">
      <w:bodyDiv w:val="1"/>
      <w:marLeft w:val="0"/>
      <w:marRight w:val="0"/>
      <w:marTop w:val="0"/>
      <w:marBottom w:val="0"/>
      <w:divBdr>
        <w:top w:val="none" w:sz="0" w:space="0" w:color="auto"/>
        <w:left w:val="none" w:sz="0" w:space="0" w:color="auto"/>
        <w:bottom w:val="none" w:sz="0" w:space="0" w:color="auto"/>
        <w:right w:val="none" w:sz="0" w:space="0" w:color="auto"/>
      </w:divBdr>
    </w:div>
    <w:div w:id="840974102">
      <w:bodyDiv w:val="1"/>
      <w:marLeft w:val="0"/>
      <w:marRight w:val="0"/>
      <w:marTop w:val="0"/>
      <w:marBottom w:val="0"/>
      <w:divBdr>
        <w:top w:val="none" w:sz="0" w:space="0" w:color="auto"/>
        <w:left w:val="none" w:sz="0" w:space="0" w:color="auto"/>
        <w:bottom w:val="none" w:sz="0" w:space="0" w:color="auto"/>
        <w:right w:val="none" w:sz="0" w:space="0" w:color="auto"/>
      </w:divBdr>
    </w:div>
    <w:div w:id="861238737">
      <w:bodyDiv w:val="1"/>
      <w:marLeft w:val="0"/>
      <w:marRight w:val="0"/>
      <w:marTop w:val="0"/>
      <w:marBottom w:val="0"/>
      <w:divBdr>
        <w:top w:val="none" w:sz="0" w:space="0" w:color="auto"/>
        <w:left w:val="none" w:sz="0" w:space="0" w:color="auto"/>
        <w:bottom w:val="none" w:sz="0" w:space="0" w:color="auto"/>
        <w:right w:val="none" w:sz="0" w:space="0" w:color="auto"/>
      </w:divBdr>
    </w:div>
    <w:div w:id="908540896">
      <w:bodyDiv w:val="1"/>
      <w:marLeft w:val="0"/>
      <w:marRight w:val="0"/>
      <w:marTop w:val="0"/>
      <w:marBottom w:val="0"/>
      <w:divBdr>
        <w:top w:val="none" w:sz="0" w:space="0" w:color="auto"/>
        <w:left w:val="none" w:sz="0" w:space="0" w:color="auto"/>
        <w:bottom w:val="none" w:sz="0" w:space="0" w:color="auto"/>
        <w:right w:val="none" w:sz="0" w:space="0" w:color="auto"/>
      </w:divBdr>
    </w:div>
    <w:div w:id="912471563">
      <w:bodyDiv w:val="1"/>
      <w:marLeft w:val="0"/>
      <w:marRight w:val="0"/>
      <w:marTop w:val="0"/>
      <w:marBottom w:val="0"/>
      <w:divBdr>
        <w:top w:val="none" w:sz="0" w:space="0" w:color="auto"/>
        <w:left w:val="none" w:sz="0" w:space="0" w:color="auto"/>
        <w:bottom w:val="none" w:sz="0" w:space="0" w:color="auto"/>
        <w:right w:val="none" w:sz="0" w:space="0" w:color="auto"/>
      </w:divBdr>
    </w:div>
    <w:div w:id="927344683">
      <w:bodyDiv w:val="1"/>
      <w:marLeft w:val="0"/>
      <w:marRight w:val="0"/>
      <w:marTop w:val="0"/>
      <w:marBottom w:val="0"/>
      <w:divBdr>
        <w:top w:val="none" w:sz="0" w:space="0" w:color="auto"/>
        <w:left w:val="none" w:sz="0" w:space="0" w:color="auto"/>
        <w:bottom w:val="none" w:sz="0" w:space="0" w:color="auto"/>
        <w:right w:val="none" w:sz="0" w:space="0" w:color="auto"/>
      </w:divBdr>
    </w:div>
    <w:div w:id="932324287">
      <w:bodyDiv w:val="1"/>
      <w:marLeft w:val="0"/>
      <w:marRight w:val="0"/>
      <w:marTop w:val="0"/>
      <w:marBottom w:val="0"/>
      <w:divBdr>
        <w:top w:val="none" w:sz="0" w:space="0" w:color="auto"/>
        <w:left w:val="none" w:sz="0" w:space="0" w:color="auto"/>
        <w:bottom w:val="none" w:sz="0" w:space="0" w:color="auto"/>
        <w:right w:val="none" w:sz="0" w:space="0" w:color="auto"/>
      </w:divBdr>
    </w:div>
    <w:div w:id="954406993">
      <w:bodyDiv w:val="1"/>
      <w:marLeft w:val="0"/>
      <w:marRight w:val="0"/>
      <w:marTop w:val="0"/>
      <w:marBottom w:val="0"/>
      <w:divBdr>
        <w:top w:val="none" w:sz="0" w:space="0" w:color="auto"/>
        <w:left w:val="none" w:sz="0" w:space="0" w:color="auto"/>
        <w:bottom w:val="none" w:sz="0" w:space="0" w:color="auto"/>
        <w:right w:val="none" w:sz="0" w:space="0" w:color="auto"/>
      </w:divBdr>
    </w:div>
    <w:div w:id="970206713">
      <w:bodyDiv w:val="1"/>
      <w:marLeft w:val="0"/>
      <w:marRight w:val="0"/>
      <w:marTop w:val="0"/>
      <w:marBottom w:val="0"/>
      <w:divBdr>
        <w:top w:val="none" w:sz="0" w:space="0" w:color="auto"/>
        <w:left w:val="none" w:sz="0" w:space="0" w:color="auto"/>
        <w:bottom w:val="none" w:sz="0" w:space="0" w:color="auto"/>
        <w:right w:val="none" w:sz="0" w:space="0" w:color="auto"/>
      </w:divBdr>
    </w:div>
    <w:div w:id="973099137">
      <w:bodyDiv w:val="1"/>
      <w:marLeft w:val="0"/>
      <w:marRight w:val="0"/>
      <w:marTop w:val="0"/>
      <w:marBottom w:val="0"/>
      <w:divBdr>
        <w:top w:val="none" w:sz="0" w:space="0" w:color="auto"/>
        <w:left w:val="none" w:sz="0" w:space="0" w:color="auto"/>
        <w:bottom w:val="none" w:sz="0" w:space="0" w:color="auto"/>
        <w:right w:val="none" w:sz="0" w:space="0" w:color="auto"/>
      </w:divBdr>
    </w:div>
    <w:div w:id="974987285">
      <w:bodyDiv w:val="1"/>
      <w:marLeft w:val="0"/>
      <w:marRight w:val="0"/>
      <w:marTop w:val="0"/>
      <w:marBottom w:val="0"/>
      <w:divBdr>
        <w:top w:val="none" w:sz="0" w:space="0" w:color="auto"/>
        <w:left w:val="none" w:sz="0" w:space="0" w:color="auto"/>
        <w:bottom w:val="none" w:sz="0" w:space="0" w:color="auto"/>
        <w:right w:val="none" w:sz="0" w:space="0" w:color="auto"/>
      </w:divBdr>
    </w:div>
    <w:div w:id="976447950">
      <w:bodyDiv w:val="1"/>
      <w:marLeft w:val="0"/>
      <w:marRight w:val="0"/>
      <w:marTop w:val="0"/>
      <w:marBottom w:val="0"/>
      <w:divBdr>
        <w:top w:val="none" w:sz="0" w:space="0" w:color="auto"/>
        <w:left w:val="none" w:sz="0" w:space="0" w:color="auto"/>
        <w:bottom w:val="none" w:sz="0" w:space="0" w:color="auto"/>
        <w:right w:val="none" w:sz="0" w:space="0" w:color="auto"/>
      </w:divBdr>
    </w:div>
    <w:div w:id="989552597">
      <w:bodyDiv w:val="1"/>
      <w:marLeft w:val="0"/>
      <w:marRight w:val="0"/>
      <w:marTop w:val="0"/>
      <w:marBottom w:val="0"/>
      <w:divBdr>
        <w:top w:val="none" w:sz="0" w:space="0" w:color="auto"/>
        <w:left w:val="none" w:sz="0" w:space="0" w:color="auto"/>
        <w:bottom w:val="none" w:sz="0" w:space="0" w:color="auto"/>
        <w:right w:val="none" w:sz="0" w:space="0" w:color="auto"/>
      </w:divBdr>
    </w:div>
    <w:div w:id="995497946">
      <w:bodyDiv w:val="1"/>
      <w:marLeft w:val="0"/>
      <w:marRight w:val="0"/>
      <w:marTop w:val="0"/>
      <w:marBottom w:val="0"/>
      <w:divBdr>
        <w:top w:val="none" w:sz="0" w:space="0" w:color="auto"/>
        <w:left w:val="none" w:sz="0" w:space="0" w:color="auto"/>
        <w:bottom w:val="none" w:sz="0" w:space="0" w:color="auto"/>
        <w:right w:val="none" w:sz="0" w:space="0" w:color="auto"/>
      </w:divBdr>
    </w:div>
    <w:div w:id="1006439081">
      <w:bodyDiv w:val="1"/>
      <w:marLeft w:val="0"/>
      <w:marRight w:val="0"/>
      <w:marTop w:val="0"/>
      <w:marBottom w:val="0"/>
      <w:divBdr>
        <w:top w:val="none" w:sz="0" w:space="0" w:color="auto"/>
        <w:left w:val="none" w:sz="0" w:space="0" w:color="auto"/>
        <w:bottom w:val="none" w:sz="0" w:space="0" w:color="auto"/>
        <w:right w:val="none" w:sz="0" w:space="0" w:color="auto"/>
      </w:divBdr>
    </w:div>
    <w:div w:id="1014915760">
      <w:bodyDiv w:val="1"/>
      <w:marLeft w:val="0"/>
      <w:marRight w:val="0"/>
      <w:marTop w:val="0"/>
      <w:marBottom w:val="0"/>
      <w:divBdr>
        <w:top w:val="none" w:sz="0" w:space="0" w:color="auto"/>
        <w:left w:val="none" w:sz="0" w:space="0" w:color="auto"/>
        <w:bottom w:val="none" w:sz="0" w:space="0" w:color="auto"/>
        <w:right w:val="none" w:sz="0" w:space="0" w:color="auto"/>
      </w:divBdr>
    </w:div>
    <w:div w:id="1019506222">
      <w:bodyDiv w:val="1"/>
      <w:marLeft w:val="0"/>
      <w:marRight w:val="0"/>
      <w:marTop w:val="0"/>
      <w:marBottom w:val="0"/>
      <w:divBdr>
        <w:top w:val="none" w:sz="0" w:space="0" w:color="auto"/>
        <w:left w:val="none" w:sz="0" w:space="0" w:color="auto"/>
        <w:bottom w:val="none" w:sz="0" w:space="0" w:color="auto"/>
        <w:right w:val="none" w:sz="0" w:space="0" w:color="auto"/>
      </w:divBdr>
    </w:div>
    <w:div w:id="1019624492">
      <w:bodyDiv w:val="1"/>
      <w:marLeft w:val="0"/>
      <w:marRight w:val="0"/>
      <w:marTop w:val="0"/>
      <w:marBottom w:val="0"/>
      <w:divBdr>
        <w:top w:val="none" w:sz="0" w:space="0" w:color="auto"/>
        <w:left w:val="none" w:sz="0" w:space="0" w:color="auto"/>
        <w:bottom w:val="none" w:sz="0" w:space="0" w:color="auto"/>
        <w:right w:val="none" w:sz="0" w:space="0" w:color="auto"/>
      </w:divBdr>
    </w:div>
    <w:div w:id="103018316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66761311">
      <w:bodyDiv w:val="1"/>
      <w:marLeft w:val="0"/>
      <w:marRight w:val="0"/>
      <w:marTop w:val="0"/>
      <w:marBottom w:val="0"/>
      <w:divBdr>
        <w:top w:val="none" w:sz="0" w:space="0" w:color="auto"/>
        <w:left w:val="none" w:sz="0" w:space="0" w:color="auto"/>
        <w:bottom w:val="none" w:sz="0" w:space="0" w:color="auto"/>
        <w:right w:val="none" w:sz="0" w:space="0" w:color="auto"/>
      </w:divBdr>
    </w:div>
    <w:div w:id="1075006198">
      <w:bodyDiv w:val="1"/>
      <w:marLeft w:val="0"/>
      <w:marRight w:val="0"/>
      <w:marTop w:val="0"/>
      <w:marBottom w:val="0"/>
      <w:divBdr>
        <w:top w:val="none" w:sz="0" w:space="0" w:color="auto"/>
        <w:left w:val="none" w:sz="0" w:space="0" w:color="auto"/>
        <w:bottom w:val="none" w:sz="0" w:space="0" w:color="auto"/>
        <w:right w:val="none" w:sz="0" w:space="0" w:color="auto"/>
      </w:divBdr>
    </w:div>
    <w:div w:id="1105345818">
      <w:bodyDiv w:val="1"/>
      <w:marLeft w:val="0"/>
      <w:marRight w:val="0"/>
      <w:marTop w:val="0"/>
      <w:marBottom w:val="0"/>
      <w:divBdr>
        <w:top w:val="none" w:sz="0" w:space="0" w:color="auto"/>
        <w:left w:val="none" w:sz="0" w:space="0" w:color="auto"/>
        <w:bottom w:val="none" w:sz="0" w:space="0" w:color="auto"/>
        <w:right w:val="none" w:sz="0" w:space="0" w:color="auto"/>
      </w:divBdr>
    </w:div>
    <w:div w:id="1108430635">
      <w:bodyDiv w:val="1"/>
      <w:marLeft w:val="0"/>
      <w:marRight w:val="0"/>
      <w:marTop w:val="0"/>
      <w:marBottom w:val="0"/>
      <w:divBdr>
        <w:top w:val="none" w:sz="0" w:space="0" w:color="auto"/>
        <w:left w:val="none" w:sz="0" w:space="0" w:color="auto"/>
        <w:bottom w:val="none" w:sz="0" w:space="0" w:color="auto"/>
        <w:right w:val="none" w:sz="0" w:space="0" w:color="auto"/>
      </w:divBdr>
    </w:div>
    <w:div w:id="1124883140">
      <w:bodyDiv w:val="1"/>
      <w:marLeft w:val="0"/>
      <w:marRight w:val="0"/>
      <w:marTop w:val="0"/>
      <w:marBottom w:val="0"/>
      <w:divBdr>
        <w:top w:val="none" w:sz="0" w:space="0" w:color="auto"/>
        <w:left w:val="none" w:sz="0" w:space="0" w:color="auto"/>
        <w:bottom w:val="none" w:sz="0" w:space="0" w:color="auto"/>
        <w:right w:val="none" w:sz="0" w:space="0" w:color="auto"/>
      </w:divBdr>
    </w:div>
    <w:div w:id="1142507463">
      <w:bodyDiv w:val="1"/>
      <w:marLeft w:val="0"/>
      <w:marRight w:val="0"/>
      <w:marTop w:val="0"/>
      <w:marBottom w:val="0"/>
      <w:divBdr>
        <w:top w:val="none" w:sz="0" w:space="0" w:color="auto"/>
        <w:left w:val="none" w:sz="0" w:space="0" w:color="auto"/>
        <w:bottom w:val="none" w:sz="0" w:space="0" w:color="auto"/>
        <w:right w:val="none" w:sz="0" w:space="0" w:color="auto"/>
      </w:divBdr>
    </w:div>
    <w:div w:id="1184587800">
      <w:bodyDiv w:val="1"/>
      <w:marLeft w:val="0"/>
      <w:marRight w:val="0"/>
      <w:marTop w:val="0"/>
      <w:marBottom w:val="0"/>
      <w:divBdr>
        <w:top w:val="none" w:sz="0" w:space="0" w:color="auto"/>
        <w:left w:val="none" w:sz="0" w:space="0" w:color="auto"/>
        <w:bottom w:val="none" w:sz="0" w:space="0" w:color="auto"/>
        <w:right w:val="none" w:sz="0" w:space="0" w:color="auto"/>
      </w:divBdr>
    </w:div>
    <w:div w:id="1208299536">
      <w:bodyDiv w:val="1"/>
      <w:marLeft w:val="0"/>
      <w:marRight w:val="0"/>
      <w:marTop w:val="0"/>
      <w:marBottom w:val="0"/>
      <w:divBdr>
        <w:top w:val="none" w:sz="0" w:space="0" w:color="auto"/>
        <w:left w:val="none" w:sz="0" w:space="0" w:color="auto"/>
        <w:bottom w:val="none" w:sz="0" w:space="0" w:color="auto"/>
        <w:right w:val="none" w:sz="0" w:space="0" w:color="auto"/>
      </w:divBdr>
    </w:div>
    <w:div w:id="1228416318">
      <w:bodyDiv w:val="1"/>
      <w:marLeft w:val="0"/>
      <w:marRight w:val="0"/>
      <w:marTop w:val="0"/>
      <w:marBottom w:val="0"/>
      <w:divBdr>
        <w:top w:val="none" w:sz="0" w:space="0" w:color="auto"/>
        <w:left w:val="none" w:sz="0" w:space="0" w:color="auto"/>
        <w:bottom w:val="none" w:sz="0" w:space="0" w:color="auto"/>
        <w:right w:val="none" w:sz="0" w:space="0" w:color="auto"/>
      </w:divBdr>
    </w:div>
    <w:div w:id="1232737946">
      <w:bodyDiv w:val="1"/>
      <w:marLeft w:val="0"/>
      <w:marRight w:val="0"/>
      <w:marTop w:val="0"/>
      <w:marBottom w:val="0"/>
      <w:divBdr>
        <w:top w:val="none" w:sz="0" w:space="0" w:color="auto"/>
        <w:left w:val="none" w:sz="0" w:space="0" w:color="auto"/>
        <w:bottom w:val="none" w:sz="0" w:space="0" w:color="auto"/>
        <w:right w:val="none" w:sz="0" w:space="0" w:color="auto"/>
      </w:divBdr>
    </w:div>
    <w:div w:id="1243031828">
      <w:bodyDiv w:val="1"/>
      <w:marLeft w:val="0"/>
      <w:marRight w:val="0"/>
      <w:marTop w:val="0"/>
      <w:marBottom w:val="0"/>
      <w:divBdr>
        <w:top w:val="none" w:sz="0" w:space="0" w:color="auto"/>
        <w:left w:val="none" w:sz="0" w:space="0" w:color="auto"/>
        <w:bottom w:val="none" w:sz="0" w:space="0" w:color="auto"/>
        <w:right w:val="none" w:sz="0" w:space="0" w:color="auto"/>
      </w:divBdr>
    </w:div>
    <w:div w:id="1315649007">
      <w:bodyDiv w:val="1"/>
      <w:marLeft w:val="0"/>
      <w:marRight w:val="0"/>
      <w:marTop w:val="0"/>
      <w:marBottom w:val="0"/>
      <w:divBdr>
        <w:top w:val="none" w:sz="0" w:space="0" w:color="auto"/>
        <w:left w:val="none" w:sz="0" w:space="0" w:color="auto"/>
        <w:bottom w:val="none" w:sz="0" w:space="0" w:color="auto"/>
        <w:right w:val="none" w:sz="0" w:space="0" w:color="auto"/>
      </w:divBdr>
    </w:div>
    <w:div w:id="1421874585">
      <w:bodyDiv w:val="1"/>
      <w:marLeft w:val="0"/>
      <w:marRight w:val="0"/>
      <w:marTop w:val="0"/>
      <w:marBottom w:val="0"/>
      <w:divBdr>
        <w:top w:val="none" w:sz="0" w:space="0" w:color="auto"/>
        <w:left w:val="none" w:sz="0" w:space="0" w:color="auto"/>
        <w:bottom w:val="none" w:sz="0" w:space="0" w:color="auto"/>
        <w:right w:val="none" w:sz="0" w:space="0" w:color="auto"/>
      </w:divBdr>
    </w:div>
    <w:div w:id="1430660299">
      <w:bodyDiv w:val="1"/>
      <w:marLeft w:val="0"/>
      <w:marRight w:val="0"/>
      <w:marTop w:val="0"/>
      <w:marBottom w:val="0"/>
      <w:divBdr>
        <w:top w:val="none" w:sz="0" w:space="0" w:color="auto"/>
        <w:left w:val="none" w:sz="0" w:space="0" w:color="auto"/>
        <w:bottom w:val="none" w:sz="0" w:space="0" w:color="auto"/>
        <w:right w:val="none" w:sz="0" w:space="0" w:color="auto"/>
      </w:divBdr>
    </w:div>
    <w:div w:id="1431317901">
      <w:bodyDiv w:val="1"/>
      <w:marLeft w:val="0"/>
      <w:marRight w:val="0"/>
      <w:marTop w:val="0"/>
      <w:marBottom w:val="0"/>
      <w:divBdr>
        <w:top w:val="none" w:sz="0" w:space="0" w:color="auto"/>
        <w:left w:val="none" w:sz="0" w:space="0" w:color="auto"/>
        <w:bottom w:val="none" w:sz="0" w:space="0" w:color="auto"/>
        <w:right w:val="none" w:sz="0" w:space="0" w:color="auto"/>
      </w:divBdr>
    </w:div>
    <w:div w:id="1471938912">
      <w:bodyDiv w:val="1"/>
      <w:marLeft w:val="0"/>
      <w:marRight w:val="0"/>
      <w:marTop w:val="0"/>
      <w:marBottom w:val="0"/>
      <w:divBdr>
        <w:top w:val="none" w:sz="0" w:space="0" w:color="auto"/>
        <w:left w:val="none" w:sz="0" w:space="0" w:color="auto"/>
        <w:bottom w:val="none" w:sz="0" w:space="0" w:color="auto"/>
        <w:right w:val="none" w:sz="0" w:space="0" w:color="auto"/>
      </w:divBdr>
    </w:div>
    <w:div w:id="1497768457">
      <w:bodyDiv w:val="1"/>
      <w:marLeft w:val="0"/>
      <w:marRight w:val="0"/>
      <w:marTop w:val="0"/>
      <w:marBottom w:val="0"/>
      <w:divBdr>
        <w:top w:val="none" w:sz="0" w:space="0" w:color="auto"/>
        <w:left w:val="none" w:sz="0" w:space="0" w:color="auto"/>
        <w:bottom w:val="none" w:sz="0" w:space="0" w:color="auto"/>
        <w:right w:val="none" w:sz="0" w:space="0" w:color="auto"/>
      </w:divBdr>
    </w:div>
    <w:div w:id="1501038682">
      <w:bodyDiv w:val="1"/>
      <w:marLeft w:val="0"/>
      <w:marRight w:val="0"/>
      <w:marTop w:val="0"/>
      <w:marBottom w:val="0"/>
      <w:divBdr>
        <w:top w:val="none" w:sz="0" w:space="0" w:color="auto"/>
        <w:left w:val="none" w:sz="0" w:space="0" w:color="auto"/>
        <w:bottom w:val="none" w:sz="0" w:space="0" w:color="auto"/>
        <w:right w:val="none" w:sz="0" w:space="0" w:color="auto"/>
      </w:divBdr>
    </w:div>
    <w:div w:id="1551334458">
      <w:bodyDiv w:val="1"/>
      <w:marLeft w:val="0"/>
      <w:marRight w:val="0"/>
      <w:marTop w:val="0"/>
      <w:marBottom w:val="0"/>
      <w:divBdr>
        <w:top w:val="none" w:sz="0" w:space="0" w:color="auto"/>
        <w:left w:val="none" w:sz="0" w:space="0" w:color="auto"/>
        <w:bottom w:val="none" w:sz="0" w:space="0" w:color="auto"/>
        <w:right w:val="none" w:sz="0" w:space="0" w:color="auto"/>
      </w:divBdr>
    </w:div>
    <w:div w:id="1563253007">
      <w:bodyDiv w:val="1"/>
      <w:marLeft w:val="0"/>
      <w:marRight w:val="0"/>
      <w:marTop w:val="0"/>
      <w:marBottom w:val="0"/>
      <w:divBdr>
        <w:top w:val="none" w:sz="0" w:space="0" w:color="auto"/>
        <w:left w:val="none" w:sz="0" w:space="0" w:color="auto"/>
        <w:bottom w:val="none" w:sz="0" w:space="0" w:color="auto"/>
        <w:right w:val="none" w:sz="0" w:space="0" w:color="auto"/>
      </w:divBdr>
    </w:div>
    <w:div w:id="1600874843">
      <w:bodyDiv w:val="1"/>
      <w:marLeft w:val="0"/>
      <w:marRight w:val="0"/>
      <w:marTop w:val="0"/>
      <w:marBottom w:val="0"/>
      <w:divBdr>
        <w:top w:val="none" w:sz="0" w:space="0" w:color="auto"/>
        <w:left w:val="none" w:sz="0" w:space="0" w:color="auto"/>
        <w:bottom w:val="none" w:sz="0" w:space="0" w:color="auto"/>
        <w:right w:val="none" w:sz="0" w:space="0" w:color="auto"/>
      </w:divBdr>
    </w:div>
    <w:div w:id="1608851012">
      <w:bodyDiv w:val="1"/>
      <w:marLeft w:val="0"/>
      <w:marRight w:val="0"/>
      <w:marTop w:val="0"/>
      <w:marBottom w:val="0"/>
      <w:divBdr>
        <w:top w:val="none" w:sz="0" w:space="0" w:color="auto"/>
        <w:left w:val="none" w:sz="0" w:space="0" w:color="auto"/>
        <w:bottom w:val="none" w:sz="0" w:space="0" w:color="auto"/>
        <w:right w:val="none" w:sz="0" w:space="0" w:color="auto"/>
      </w:divBdr>
    </w:div>
    <w:div w:id="1614359350">
      <w:bodyDiv w:val="1"/>
      <w:marLeft w:val="0"/>
      <w:marRight w:val="0"/>
      <w:marTop w:val="0"/>
      <w:marBottom w:val="0"/>
      <w:divBdr>
        <w:top w:val="none" w:sz="0" w:space="0" w:color="auto"/>
        <w:left w:val="none" w:sz="0" w:space="0" w:color="auto"/>
        <w:bottom w:val="none" w:sz="0" w:space="0" w:color="auto"/>
        <w:right w:val="none" w:sz="0" w:space="0" w:color="auto"/>
      </w:divBdr>
    </w:div>
    <w:div w:id="1643728362">
      <w:bodyDiv w:val="1"/>
      <w:marLeft w:val="0"/>
      <w:marRight w:val="0"/>
      <w:marTop w:val="0"/>
      <w:marBottom w:val="0"/>
      <w:divBdr>
        <w:top w:val="none" w:sz="0" w:space="0" w:color="auto"/>
        <w:left w:val="none" w:sz="0" w:space="0" w:color="auto"/>
        <w:bottom w:val="none" w:sz="0" w:space="0" w:color="auto"/>
        <w:right w:val="none" w:sz="0" w:space="0" w:color="auto"/>
      </w:divBdr>
    </w:div>
    <w:div w:id="1694652176">
      <w:bodyDiv w:val="1"/>
      <w:marLeft w:val="0"/>
      <w:marRight w:val="0"/>
      <w:marTop w:val="0"/>
      <w:marBottom w:val="0"/>
      <w:divBdr>
        <w:top w:val="none" w:sz="0" w:space="0" w:color="auto"/>
        <w:left w:val="none" w:sz="0" w:space="0" w:color="auto"/>
        <w:bottom w:val="none" w:sz="0" w:space="0" w:color="auto"/>
        <w:right w:val="none" w:sz="0" w:space="0" w:color="auto"/>
      </w:divBdr>
    </w:div>
    <w:div w:id="1731613600">
      <w:bodyDiv w:val="1"/>
      <w:marLeft w:val="0"/>
      <w:marRight w:val="0"/>
      <w:marTop w:val="0"/>
      <w:marBottom w:val="0"/>
      <w:divBdr>
        <w:top w:val="none" w:sz="0" w:space="0" w:color="auto"/>
        <w:left w:val="none" w:sz="0" w:space="0" w:color="auto"/>
        <w:bottom w:val="none" w:sz="0" w:space="0" w:color="auto"/>
        <w:right w:val="none" w:sz="0" w:space="0" w:color="auto"/>
      </w:divBdr>
    </w:div>
    <w:div w:id="1739399725">
      <w:bodyDiv w:val="1"/>
      <w:marLeft w:val="0"/>
      <w:marRight w:val="0"/>
      <w:marTop w:val="0"/>
      <w:marBottom w:val="0"/>
      <w:divBdr>
        <w:top w:val="none" w:sz="0" w:space="0" w:color="auto"/>
        <w:left w:val="none" w:sz="0" w:space="0" w:color="auto"/>
        <w:bottom w:val="none" w:sz="0" w:space="0" w:color="auto"/>
        <w:right w:val="none" w:sz="0" w:space="0" w:color="auto"/>
      </w:divBdr>
    </w:div>
    <w:div w:id="1773238192">
      <w:bodyDiv w:val="1"/>
      <w:marLeft w:val="0"/>
      <w:marRight w:val="0"/>
      <w:marTop w:val="0"/>
      <w:marBottom w:val="0"/>
      <w:divBdr>
        <w:top w:val="none" w:sz="0" w:space="0" w:color="auto"/>
        <w:left w:val="none" w:sz="0" w:space="0" w:color="auto"/>
        <w:bottom w:val="none" w:sz="0" w:space="0" w:color="auto"/>
        <w:right w:val="none" w:sz="0" w:space="0" w:color="auto"/>
      </w:divBdr>
    </w:div>
    <w:div w:id="1817379119">
      <w:bodyDiv w:val="1"/>
      <w:marLeft w:val="0"/>
      <w:marRight w:val="0"/>
      <w:marTop w:val="0"/>
      <w:marBottom w:val="0"/>
      <w:divBdr>
        <w:top w:val="none" w:sz="0" w:space="0" w:color="auto"/>
        <w:left w:val="none" w:sz="0" w:space="0" w:color="auto"/>
        <w:bottom w:val="none" w:sz="0" w:space="0" w:color="auto"/>
        <w:right w:val="none" w:sz="0" w:space="0" w:color="auto"/>
      </w:divBdr>
    </w:div>
    <w:div w:id="1866673802">
      <w:bodyDiv w:val="1"/>
      <w:marLeft w:val="0"/>
      <w:marRight w:val="0"/>
      <w:marTop w:val="0"/>
      <w:marBottom w:val="0"/>
      <w:divBdr>
        <w:top w:val="none" w:sz="0" w:space="0" w:color="auto"/>
        <w:left w:val="none" w:sz="0" w:space="0" w:color="auto"/>
        <w:bottom w:val="none" w:sz="0" w:space="0" w:color="auto"/>
        <w:right w:val="none" w:sz="0" w:space="0" w:color="auto"/>
      </w:divBdr>
    </w:div>
    <w:div w:id="1868715093">
      <w:bodyDiv w:val="1"/>
      <w:marLeft w:val="0"/>
      <w:marRight w:val="0"/>
      <w:marTop w:val="0"/>
      <w:marBottom w:val="0"/>
      <w:divBdr>
        <w:top w:val="none" w:sz="0" w:space="0" w:color="auto"/>
        <w:left w:val="none" w:sz="0" w:space="0" w:color="auto"/>
        <w:bottom w:val="none" w:sz="0" w:space="0" w:color="auto"/>
        <w:right w:val="none" w:sz="0" w:space="0" w:color="auto"/>
      </w:divBdr>
    </w:div>
    <w:div w:id="1937521974">
      <w:bodyDiv w:val="1"/>
      <w:marLeft w:val="0"/>
      <w:marRight w:val="0"/>
      <w:marTop w:val="0"/>
      <w:marBottom w:val="0"/>
      <w:divBdr>
        <w:top w:val="none" w:sz="0" w:space="0" w:color="auto"/>
        <w:left w:val="none" w:sz="0" w:space="0" w:color="auto"/>
        <w:bottom w:val="none" w:sz="0" w:space="0" w:color="auto"/>
        <w:right w:val="none" w:sz="0" w:space="0" w:color="auto"/>
      </w:divBdr>
    </w:div>
    <w:div w:id="1941330793">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4115102">
      <w:bodyDiv w:val="1"/>
      <w:marLeft w:val="0"/>
      <w:marRight w:val="0"/>
      <w:marTop w:val="0"/>
      <w:marBottom w:val="0"/>
      <w:divBdr>
        <w:top w:val="none" w:sz="0" w:space="0" w:color="auto"/>
        <w:left w:val="none" w:sz="0" w:space="0" w:color="auto"/>
        <w:bottom w:val="none" w:sz="0" w:space="0" w:color="auto"/>
        <w:right w:val="none" w:sz="0" w:space="0" w:color="auto"/>
      </w:divBdr>
    </w:div>
    <w:div w:id="1996033416">
      <w:bodyDiv w:val="1"/>
      <w:marLeft w:val="0"/>
      <w:marRight w:val="0"/>
      <w:marTop w:val="0"/>
      <w:marBottom w:val="0"/>
      <w:divBdr>
        <w:top w:val="none" w:sz="0" w:space="0" w:color="auto"/>
        <w:left w:val="none" w:sz="0" w:space="0" w:color="auto"/>
        <w:bottom w:val="none" w:sz="0" w:space="0" w:color="auto"/>
        <w:right w:val="none" w:sz="0" w:space="0" w:color="auto"/>
      </w:divBdr>
    </w:div>
    <w:div w:id="2066099422">
      <w:bodyDiv w:val="1"/>
      <w:marLeft w:val="0"/>
      <w:marRight w:val="0"/>
      <w:marTop w:val="0"/>
      <w:marBottom w:val="0"/>
      <w:divBdr>
        <w:top w:val="none" w:sz="0" w:space="0" w:color="auto"/>
        <w:left w:val="none" w:sz="0" w:space="0" w:color="auto"/>
        <w:bottom w:val="none" w:sz="0" w:space="0" w:color="auto"/>
        <w:right w:val="none" w:sz="0" w:space="0" w:color="auto"/>
      </w:divBdr>
    </w:div>
    <w:div w:id="2071803075">
      <w:bodyDiv w:val="1"/>
      <w:marLeft w:val="0"/>
      <w:marRight w:val="0"/>
      <w:marTop w:val="0"/>
      <w:marBottom w:val="0"/>
      <w:divBdr>
        <w:top w:val="none" w:sz="0" w:space="0" w:color="auto"/>
        <w:left w:val="none" w:sz="0" w:space="0" w:color="auto"/>
        <w:bottom w:val="none" w:sz="0" w:space="0" w:color="auto"/>
        <w:right w:val="none" w:sz="0" w:space="0" w:color="auto"/>
      </w:divBdr>
    </w:div>
    <w:div w:id="2119523588">
      <w:bodyDiv w:val="1"/>
      <w:marLeft w:val="0"/>
      <w:marRight w:val="0"/>
      <w:marTop w:val="0"/>
      <w:marBottom w:val="0"/>
      <w:divBdr>
        <w:top w:val="none" w:sz="0" w:space="0" w:color="auto"/>
        <w:left w:val="none" w:sz="0" w:space="0" w:color="auto"/>
        <w:bottom w:val="none" w:sz="0" w:space="0" w:color="auto"/>
        <w:right w:val="none" w:sz="0" w:space="0" w:color="auto"/>
      </w:divBdr>
    </w:div>
    <w:div w:id="2141341402">
      <w:bodyDiv w:val="1"/>
      <w:marLeft w:val="0"/>
      <w:marRight w:val="0"/>
      <w:marTop w:val="0"/>
      <w:marBottom w:val="0"/>
      <w:divBdr>
        <w:top w:val="none" w:sz="0" w:space="0" w:color="auto"/>
        <w:left w:val="none" w:sz="0" w:space="0" w:color="auto"/>
        <w:bottom w:val="none" w:sz="0" w:space="0" w:color="auto"/>
        <w:right w:val="none" w:sz="0" w:space="0" w:color="auto"/>
      </w:divBdr>
    </w:div>
    <w:div w:id="2144078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consultation.accc.gov.au/product-safety/toppling-furniture-and-televisions-issues-paper/" TargetMode="External"/><Relationship Id="rId26" Type="http://schemas.openxmlformats.org/officeDocument/2006/relationships/chart" Target="charts/chart5.xml"/><Relationship Id="rId39" Type="http://schemas.openxmlformats.org/officeDocument/2006/relationships/hyperlink" Target="https://www.aihw.gov.au/reports/australias-welfare/home-ownership-and-housing-tenure" TargetMode="Externa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image" Target="media/image12.emf"/><Relationship Id="rId42" Type="http://schemas.openxmlformats.org/officeDocument/2006/relationships/hyperlink" Target="https://www.abs.gov.au/statistics/people/population/births-australia/latest-release"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consultation.accc.gov.au/product-safety/toppling-furniture-consultation-regulation-impact/" TargetMode="External"/><Relationship Id="rId25" Type="http://schemas.openxmlformats.org/officeDocument/2006/relationships/chart" Target="charts/chart4.xml"/><Relationship Id="rId33" Type="http://schemas.openxmlformats.org/officeDocument/2006/relationships/image" Target="media/image11.png"/><Relationship Id="rId38" Type="http://schemas.openxmlformats.org/officeDocument/2006/relationships/footer" Target="footer4.xml"/><Relationship Id="rId46" Type="http://schemas.openxmlformats.org/officeDocument/2006/relationships/hyperlink" Target="https://consultation.accc.gov.au/product-safety/toppling-furniture-consultation-regulation-impact/supporting_documents/CPS%20%20RAO%20%20SP%20%20Toppling%20furniture%20%20Consultation%20RIS%20paper.pdf"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image" Target="media/image7.png"/><Relationship Id="rId41" Type="http://schemas.openxmlformats.org/officeDocument/2006/relationships/hyperlink" Target="https://www.abs.gov.au/statistics/people/people-and-communities/snapshot-australia/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3.xml"/><Relationship Id="rId32" Type="http://schemas.openxmlformats.org/officeDocument/2006/relationships/image" Target="media/image10.png"/><Relationship Id="rId37" Type="http://schemas.openxmlformats.org/officeDocument/2006/relationships/header" Target="header5.xml"/><Relationship Id="rId40" Type="http://schemas.openxmlformats.org/officeDocument/2006/relationships/hyperlink" Target="https://www.abs.gov.au/statistics/people/housing/housing-census/2021" TargetMode="External"/><Relationship Id="rId45" Type="http://schemas.openxmlformats.org/officeDocument/2006/relationships/hyperlink" Target="https://consultation.accc.gov.au/product-safety/toppling-furniture-consultation-regulation-impact/supporting_documents/CPS%20%20RAO%20%20SP%20%20Toppling%20furniture%20%20Consultation%20RIS%20paper.pdf"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image" Target="media/image6.png"/><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consultation.accc.gov.au/product-safety/toppling-furniture-consultation-regulation-impact/" TargetMode="External"/><Relationship Id="rId31" Type="http://schemas.openxmlformats.org/officeDocument/2006/relationships/image" Target="media/image9.png"/><Relationship Id="rId44" Type="http://schemas.openxmlformats.org/officeDocument/2006/relationships/hyperlink" Target="https://consultation.accc.gov.au/product-safety/toppling-furniture-consultation-regulation-impact/supporting_documents/CPS%20%20RAO%20%20SP%20%20Toppling%20furniture%20%20Consultation%20RIS%20paper.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chart" Target="charts/chart2.xml"/><Relationship Id="rId27" Type="http://schemas.openxmlformats.org/officeDocument/2006/relationships/hyperlink" Target="https://consultation.accc.gov.au/product-safety/toppling-furniture-consultation-regulation-impact/" TargetMode="External"/><Relationship Id="rId30" Type="http://schemas.openxmlformats.org/officeDocument/2006/relationships/image" Target="media/image8.png"/><Relationship Id="rId35" Type="http://schemas.openxmlformats.org/officeDocument/2006/relationships/image" Target="media/image13.emf"/><Relationship Id="rId43" Type="http://schemas.openxmlformats.org/officeDocument/2006/relationships/hyperlink" Target="https://consultation.accc.gov.au/product-safety/toppling-furniture-consultation-regulation-impact/supporting_documents/CPS%20%20RAO%20%20SP%20%20Toppling%20furniture%20%20Consultation%20RIS%20paper.pdf"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onsultation.accc.gov.au/product-safety/toppling-furniture-and-televisions-issues-paper/consultation/view_respondent?uuId=992755904" TargetMode="External"/><Relationship Id="rId13" Type="http://schemas.openxmlformats.org/officeDocument/2006/relationships/hyperlink" Target="https://obpr.pmc.gov.au/resources/guidance-assessing-impacts/value-statistical-life" TargetMode="External"/><Relationship Id="rId18" Type="http://schemas.openxmlformats.org/officeDocument/2006/relationships/hyperlink" Target="https://consultation.accc.gov.au/product-safety/toppling-furniture-consultation-regulation-impact/" TargetMode="External"/><Relationship Id="rId3" Type="http://schemas.openxmlformats.org/officeDocument/2006/relationships/hyperlink" Target="https://consultation.accc.gov.au/product-safety/toppling-furniture-and-televisions-issues-paper/consultation/view_respondent?uuId=1062962370" TargetMode="External"/><Relationship Id="rId21" Type="http://schemas.openxmlformats.org/officeDocument/2006/relationships/hyperlink" Target="https://www.cpsc.gov/content/CPSC-Warning-Label-Safety-Symbol-Research-Final-Report-with-CPSC-Staff-Statement" TargetMode="External"/><Relationship Id="rId7" Type="http://schemas.openxmlformats.org/officeDocument/2006/relationships/hyperlink" Target="https://www.nra.net.au/app/uploads/2018/11/NRA-furniture-and-TV-tip-over-best-practice-guide.pdf" TargetMode="External"/><Relationship Id="rId12" Type="http://schemas.openxmlformats.org/officeDocument/2006/relationships/hyperlink" Target="https://www.coronerscourt.vic.gov.au/sites/default/files/2018-12/redacted_lg_075510.pdf" TargetMode="External"/><Relationship Id="rId17" Type="http://schemas.openxmlformats.org/officeDocument/2006/relationships/hyperlink" Target="https://www.eess.gov.au/" TargetMode="External"/><Relationship Id="rId2" Type="http://schemas.openxmlformats.org/officeDocument/2006/relationships/hyperlink" Target="https://consultation.accc.gov.au/product-safety/toppling-furniture-consultation-regulation-impact/" TargetMode="External"/><Relationship Id="rId16" Type="http://schemas.openxmlformats.org/officeDocument/2006/relationships/hyperlink" Target="https://consultation.accc.gov.au/product-safety/toppling-furniture-and-televisions-issues-paper/" TargetMode="External"/><Relationship Id="rId20" Type="http://schemas.openxmlformats.org/officeDocument/2006/relationships/hyperlink" Target="https://www.cpsc.gov/Newsroom/News-Releases/2023/CPSC-Approves-New-Federal-Safety-Standard-for-Dressers-and-Other-Clothing-Storage-Units-Rule-Aims-to-Reduce-Injuries-and-Deaths-Associated-with-Tip-Overs" TargetMode="External"/><Relationship Id="rId1" Type="http://schemas.openxmlformats.org/officeDocument/2006/relationships/hyperlink" Target="https://consultation.accc.gov.au/product-safety/toppling-furniture-and-televisions-issues-paper/" TargetMode="External"/><Relationship Id="rId6" Type="http://schemas.openxmlformats.org/officeDocument/2006/relationships/hyperlink" Target="https://www.cdc.gov/nchs/data/ice/ice95v2/c04.pdf" TargetMode="External"/><Relationship Id="rId11" Type="http://schemas.openxmlformats.org/officeDocument/2006/relationships/hyperlink" Target="https://www.commerce.wa.gov.au/announcements/new-child-safety-laws-now-force-prevent-toppling-furniture-accidents" TargetMode="External"/><Relationship Id="rId5" Type="http://schemas.openxmlformats.org/officeDocument/2006/relationships/hyperlink" Target="https://www.eess.gov.au/" TargetMode="External"/><Relationship Id="rId15" Type="http://schemas.openxmlformats.org/officeDocument/2006/relationships/hyperlink" Target="https://www.abs.gov.au/statistics/people/population/population-projections-australia/2017-base-2066" TargetMode="External"/><Relationship Id="rId10" Type="http://schemas.openxmlformats.org/officeDocument/2006/relationships/hyperlink" Target="https://www.consumer.vic.gov.au/housing/renting/repairs-alterations-safety-and-pets/renters-making-changes-to-the-property" TargetMode="External"/><Relationship Id="rId19" Type="http://schemas.openxmlformats.org/officeDocument/2006/relationships/hyperlink" Target="https://www.choice.com.au/babies-and-kids/children-and-safety/avoiding-common-dangers/articles/dangers-of-toppling-furniture" TargetMode="External"/><Relationship Id="rId4" Type="http://schemas.openxmlformats.org/officeDocument/2006/relationships/hyperlink" Target="https://consultation.accc.gov.au/product-safety/toppling-furniture-and-televisions-issues-paper/supporting_documents/Toppling%20furniture%20and%20televisions%20%20issues%20paper.pdf" TargetMode="External"/><Relationship Id="rId9" Type="http://schemas.openxmlformats.org/officeDocument/2006/relationships/hyperlink" Target="https://www.fairtrading.nsw.gov.au/about-fair-trading/legislation-and-publications/changes-to-legislation/new-residential-tenancy-laws" TargetMode="External"/><Relationship Id="rId14" Type="http://schemas.openxmlformats.org/officeDocument/2006/relationships/hyperlink" Target="https://www.abs.gov.au/statistics/people/population/national-state-and-territory-population/latest-releas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acccgovau-my.sharepoint.com/personal/eva_hawrylko_accc_gov_au/Documents/Toppling%20Furniture/Visu%20data%20-%20graph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acccgovau-my.sharepoint.com/personal/eva_hawrylko_accc_gov_au/Documents/Toppling%20Furniture/Graph%20emergenc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glayt\Work%20Folders\Downloads\CPS%20-%20RAO%20-%20SP%20-%20Toppling%20Furniture%20-%20Figures%20for%20RIS%20-%20CURRENT.xlsb"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Sheet1!$C$7:$C$9</c:f>
              <c:strCache>
                <c:ptCount val="3"/>
                <c:pt idx="0">
                  <c:v>0-4 years</c:v>
                </c:pt>
                <c:pt idx="1">
                  <c:v>5-9 years</c:v>
                </c:pt>
                <c:pt idx="2">
                  <c:v>10+ years</c:v>
                </c:pt>
              </c:strCache>
            </c:strRef>
          </c:cat>
          <c:val>
            <c:numRef>
              <c:f>Sheet1!$D$7:$D$9</c:f>
              <c:numCache>
                <c:formatCode>General</c:formatCode>
                <c:ptCount val="3"/>
                <c:pt idx="0">
                  <c:v>96</c:v>
                </c:pt>
                <c:pt idx="1">
                  <c:v>19</c:v>
                </c:pt>
                <c:pt idx="2">
                  <c:v>45</c:v>
                </c:pt>
              </c:numCache>
            </c:numRef>
          </c:val>
          <c:extLst>
            <c:ext xmlns:c16="http://schemas.microsoft.com/office/drawing/2014/chart" uri="{C3380CC4-5D6E-409C-BE32-E72D297353CC}">
              <c16:uniqueId val="{00000000-AB27-4874-8A29-6503997A48EF}"/>
            </c:ext>
          </c:extLst>
        </c:ser>
        <c:dLbls>
          <c:showLegendKey val="0"/>
          <c:showVal val="0"/>
          <c:showCatName val="0"/>
          <c:showSerName val="0"/>
          <c:showPercent val="0"/>
          <c:showBubbleSize val="0"/>
        </c:dLbls>
        <c:gapWidth val="219"/>
        <c:overlap val="-27"/>
        <c:axId val="715384240"/>
        <c:axId val="715382600"/>
      </c:barChart>
      <c:catAx>
        <c:axId val="71538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82600"/>
        <c:crosses val="autoZero"/>
        <c:auto val="1"/>
        <c:lblAlgn val="ctr"/>
        <c:lblOffset val="100"/>
        <c:noMultiLvlLbl val="0"/>
      </c:catAx>
      <c:valAx>
        <c:axId val="715382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baseline="0">
                    <a:effectLst/>
                  </a:rPr>
                  <a:t>Number of cases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842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Sheet3!$E$22:$E$24</c:f>
              <c:strCache>
                <c:ptCount val="3"/>
                <c:pt idx="0">
                  <c:v>0-4 years</c:v>
                </c:pt>
                <c:pt idx="1">
                  <c:v>5-9 years</c:v>
                </c:pt>
                <c:pt idx="2">
                  <c:v>10+ years</c:v>
                </c:pt>
              </c:strCache>
            </c:strRef>
          </c:cat>
          <c:val>
            <c:numRef>
              <c:f>Sheet3!$F$22:$F$24</c:f>
              <c:numCache>
                <c:formatCode>General</c:formatCode>
                <c:ptCount val="3"/>
                <c:pt idx="0">
                  <c:v>123</c:v>
                </c:pt>
                <c:pt idx="1">
                  <c:v>33</c:v>
                </c:pt>
                <c:pt idx="2">
                  <c:v>121</c:v>
                </c:pt>
              </c:numCache>
            </c:numRef>
          </c:val>
          <c:extLst>
            <c:ext xmlns:c16="http://schemas.microsoft.com/office/drawing/2014/chart" uri="{C3380CC4-5D6E-409C-BE32-E72D297353CC}">
              <c16:uniqueId val="{00000000-3628-4C8F-9F6F-976D0398147E}"/>
            </c:ext>
          </c:extLst>
        </c:ser>
        <c:dLbls>
          <c:showLegendKey val="0"/>
          <c:showVal val="0"/>
          <c:showCatName val="0"/>
          <c:showSerName val="0"/>
          <c:showPercent val="0"/>
          <c:showBubbleSize val="0"/>
        </c:dLbls>
        <c:gapWidth val="219"/>
        <c:overlap val="-27"/>
        <c:axId val="707616232"/>
        <c:axId val="707613936"/>
      </c:barChart>
      <c:catAx>
        <c:axId val="707616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7613936"/>
        <c:crosses val="autoZero"/>
        <c:auto val="1"/>
        <c:lblAlgn val="ctr"/>
        <c:lblOffset val="100"/>
        <c:noMultiLvlLbl val="0"/>
      </c:catAx>
      <c:valAx>
        <c:axId val="707613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cases</a:t>
                </a:r>
              </a:p>
            </c:rich>
          </c:tx>
          <c:layout>
            <c:manualLayout>
              <c:xMode val="edge"/>
              <c:yMode val="edge"/>
              <c:x val="2.4043715846994537E-2"/>
              <c:y val="0.3325440034281428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76162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strRef>
              <c:f>Sheet1!$D$35:$Q$35</c:f>
              <c:strCache>
                <c:ptCount val="14"/>
                <c:pt idx="0">
                  <c:v>2006/07</c:v>
                </c:pt>
                <c:pt idx="1">
                  <c:v>2007/08</c:v>
                </c:pt>
                <c:pt idx="2">
                  <c:v>2008/09</c:v>
                </c:pt>
                <c:pt idx="3">
                  <c:v>2009/10</c:v>
                </c:pt>
                <c:pt idx="4">
                  <c:v>2010/11</c:v>
                </c:pt>
                <c:pt idx="5">
                  <c:v>2011/12</c:v>
                </c:pt>
                <c:pt idx="6">
                  <c:v>2012/13</c:v>
                </c:pt>
                <c:pt idx="7">
                  <c:v>2013/14</c:v>
                </c:pt>
                <c:pt idx="8">
                  <c:v>2014/15</c:v>
                </c:pt>
                <c:pt idx="9">
                  <c:v>2015/16</c:v>
                </c:pt>
                <c:pt idx="10">
                  <c:v>2016/17</c:v>
                </c:pt>
                <c:pt idx="11">
                  <c:v>2017/18</c:v>
                </c:pt>
                <c:pt idx="12">
                  <c:v>2018/19</c:v>
                </c:pt>
                <c:pt idx="13">
                  <c:v>2019/20</c:v>
                </c:pt>
              </c:strCache>
            </c:strRef>
          </c:cat>
          <c:val>
            <c:numRef>
              <c:f>Sheet1!$D$36:$Q$36</c:f>
              <c:numCache>
                <c:formatCode>General</c:formatCode>
                <c:ptCount val="14"/>
                <c:pt idx="0">
                  <c:v>49</c:v>
                </c:pt>
                <c:pt idx="1">
                  <c:v>56</c:v>
                </c:pt>
                <c:pt idx="2">
                  <c:v>57</c:v>
                </c:pt>
                <c:pt idx="3">
                  <c:v>64</c:v>
                </c:pt>
                <c:pt idx="4">
                  <c:v>61</c:v>
                </c:pt>
                <c:pt idx="5">
                  <c:v>72</c:v>
                </c:pt>
                <c:pt idx="6">
                  <c:v>62</c:v>
                </c:pt>
                <c:pt idx="7">
                  <c:v>65</c:v>
                </c:pt>
                <c:pt idx="8">
                  <c:v>75</c:v>
                </c:pt>
                <c:pt idx="9">
                  <c:v>66</c:v>
                </c:pt>
                <c:pt idx="10">
                  <c:v>83</c:v>
                </c:pt>
                <c:pt idx="11">
                  <c:v>106</c:v>
                </c:pt>
                <c:pt idx="12">
                  <c:v>78</c:v>
                </c:pt>
                <c:pt idx="13">
                  <c:v>75</c:v>
                </c:pt>
              </c:numCache>
            </c:numRef>
          </c:val>
          <c:smooth val="0"/>
          <c:extLst>
            <c:ext xmlns:c16="http://schemas.microsoft.com/office/drawing/2014/chart" uri="{C3380CC4-5D6E-409C-BE32-E72D297353CC}">
              <c16:uniqueId val="{00000000-819D-4BC1-8964-2D09AB1D4C68}"/>
            </c:ext>
          </c:extLst>
        </c:ser>
        <c:dLbls>
          <c:showLegendKey val="0"/>
          <c:showVal val="0"/>
          <c:showCatName val="0"/>
          <c:showSerName val="0"/>
          <c:showPercent val="0"/>
          <c:showBubbleSize val="0"/>
        </c:dLbls>
        <c:smooth val="0"/>
        <c:axId val="104749256"/>
        <c:axId val="104749584"/>
      </c:lineChart>
      <c:catAx>
        <c:axId val="104749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749584"/>
        <c:crosses val="autoZero"/>
        <c:auto val="1"/>
        <c:lblAlgn val="ctr"/>
        <c:lblOffset val="100"/>
        <c:noMultiLvlLbl val="0"/>
      </c:catAx>
      <c:valAx>
        <c:axId val="104749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ED Presentations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749256"/>
        <c:crosses val="autoZero"/>
        <c:crossBetween val="between"/>
      </c:valAx>
      <c:spPr>
        <a:noFill/>
        <a:ln w="25400">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Sheet1!$C$14:$C$18</c:f>
              <c:strCache>
                <c:ptCount val="5"/>
                <c:pt idx="0">
                  <c:v>Shelves (Inc. bookcase)</c:v>
                </c:pt>
                <c:pt idx="1">
                  <c:v>Cupboards (Inc. cabinet)</c:v>
                </c:pt>
                <c:pt idx="2">
                  <c:v>Drawers (Inc. tallboy, dresser)</c:v>
                </c:pt>
                <c:pt idx="3">
                  <c:v>Wardrobe </c:v>
                </c:pt>
                <c:pt idx="4">
                  <c:v>Entertainment unit (Inc. TV Unit)</c:v>
                </c:pt>
              </c:strCache>
            </c:strRef>
          </c:cat>
          <c:val>
            <c:numRef>
              <c:f>Sheet1!$D$14:$D$18</c:f>
              <c:numCache>
                <c:formatCode>General</c:formatCode>
                <c:ptCount val="5"/>
                <c:pt idx="0">
                  <c:v>64</c:v>
                </c:pt>
                <c:pt idx="1">
                  <c:v>50</c:v>
                </c:pt>
                <c:pt idx="2">
                  <c:v>35</c:v>
                </c:pt>
                <c:pt idx="3">
                  <c:v>8</c:v>
                </c:pt>
                <c:pt idx="4">
                  <c:v>3</c:v>
                </c:pt>
              </c:numCache>
            </c:numRef>
          </c:val>
          <c:extLst>
            <c:ext xmlns:c16="http://schemas.microsoft.com/office/drawing/2014/chart" uri="{C3380CC4-5D6E-409C-BE32-E72D297353CC}">
              <c16:uniqueId val="{00000000-62E2-408C-8518-E6624A7258E5}"/>
            </c:ext>
          </c:extLst>
        </c:ser>
        <c:dLbls>
          <c:dLblPos val="outEnd"/>
          <c:showLegendKey val="0"/>
          <c:showVal val="1"/>
          <c:showCatName val="0"/>
          <c:showSerName val="0"/>
          <c:showPercent val="0"/>
          <c:showBubbleSize val="0"/>
        </c:dLbls>
        <c:gapWidth val="219"/>
        <c:overlap val="-27"/>
        <c:axId val="425846744"/>
        <c:axId val="425847400"/>
      </c:barChart>
      <c:catAx>
        <c:axId val="425846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5847400"/>
        <c:crosses val="autoZero"/>
        <c:auto val="1"/>
        <c:lblAlgn val="ctr"/>
        <c:lblOffset val="100"/>
        <c:noMultiLvlLbl val="0"/>
      </c:catAx>
      <c:valAx>
        <c:axId val="425847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ED Presentations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5846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'Injury Data'!$N$36</c:f>
              <c:strCache>
                <c:ptCount val="1"/>
                <c:pt idx="0">
                  <c:v>Victoria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'Injury Data'!$M$37:$M$41</c:f>
              <c:strCache>
                <c:ptCount val="5"/>
                <c:pt idx="0">
                  <c:v>Shelves </c:v>
                </c:pt>
                <c:pt idx="1">
                  <c:v>Cupboard</c:v>
                </c:pt>
                <c:pt idx="2">
                  <c:v>Drawers </c:v>
                </c:pt>
                <c:pt idx="3">
                  <c:v>Wardrobe</c:v>
                </c:pt>
                <c:pt idx="4">
                  <c:v>Entertainment unit </c:v>
                </c:pt>
              </c:strCache>
            </c:strRef>
          </c:cat>
          <c:val>
            <c:numRef>
              <c:f>'Injury Data'!$N$37:$N$41</c:f>
              <c:numCache>
                <c:formatCode>General</c:formatCode>
                <c:ptCount val="5"/>
                <c:pt idx="0">
                  <c:v>60</c:v>
                </c:pt>
                <c:pt idx="1">
                  <c:v>65</c:v>
                </c:pt>
                <c:pt idx="2">
                  <c:v>87</c:v>
                </c:pt>
                <c:pt idx="3">
                  <c:v>60</c:v>
                </c:pt>
                <c:pt idx="4">
                  <c:v>5</c:v>
                </c:pt>
              </c:numCache>
            </c:numRef>
          </c:val>
          <c:extLst>
            <c:ext xmlns:c16="http://schemas.microsoft.com/office/drawing/2014/chart" uri="{C3380CC4-5D6E-409C-BE32-E72D297353CC}">
              <c16:uniqueId val="{00000000-3C00-43B1-9BD6-EC6C1E7B2589}"/>
            </c:ext>
          </c:extLst>
        </c:ser>
        <c:dLbls>
          <c:dLblPos val="outEnd"/>
          <c:showLegendKey val="0"/>
          <c:showVal val="1"/>
          <c:showCatName val="0"/>
          <c:showSerName val="0"/>
          <c:showPercent val="0"/>
          <c:showBubbleSize val="0"/>
        </c:dLbls>
        <c:gapWidth val="219"/>
        <c:overlap val="-27"/>
        <c:axId val="928986224"/>
        <c:axId val="928986552"/>
        <c:extLst>
          <c:ext xmlns:c15="http://schemas.microsoft.com/office/drawing/2012/chart" uri="{02D57815-91ED-43cb-92C2-25804820EDAC}">
            <c15:filteredBarSeries>
              <c15:ser>
                <c:idx val="1"/>
                <c:order val="1"/>
                <c:tx>
                  <c:strRef>
                    <c:extLst>
                      <c:ext uri="{02D57815-91ED-43cb-92C2-25804820EDAC}">
                        <c15:formulaRef>
                          <c15:sqref>'Injury Data'!$O$36</c15:sqref>
                        </c15:formulaRef>
                      </c:ext>
                    </c:extLst>
                    <c:strCache>
                      <c:ptCount val="1"/>
                      <c:pt idx="0">
                        <c:v>Queensland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'Injury Data'!$M$37:$M$41</c15:sqref>
                        </c15:formulaRef>
                      </c:ext>
                    </c:extLst>
                    <c:strCache>
                      <c:ptCount val="5"/>
                      <c:pt idx="0">
                        <c:v>Shelves </c:v>
                      </c:pt>
                      <c:pt idx="1">
                        <c:v>Cupboard</c:v>
                      </c:pt>
                      <c:pt idx="2">
                        <c:v>Drawers </c:v>
                      </c:pt>
                      <c:pt idx="3">
                        <c:v>Wardrobe</c:v>
                      </c:pt>
                      <c:pt idx="4">
                        <c:v>Entertainment unit </c:v>
                      </c:pt>
                    </c:strCache>
                  </c:strRef>
                </c:cat>
                <c:val>
                  <c:numRef>
                    <c:extLst>
                      <c:ext uri="{02D57815-91ED-43cb-92C2-25804820EDAC}">
                        <c15:formulaRef>
                          <c15:sqref>'Injury Data'!$O$37:$O$41</c15:sqref>
                        </c15:formulaRef>
                      </c:ext>
                    </c:extLst>
                    <c:numCache>
                      <c:formatCode>General</c:formatCode>
                      <c:ptCount val="5"/>
                      <c:pt idx="0">
                        <c:v>64</c:v>
                      </c:pt>
                      <c:pt idx="1">
                        <c:v>50</c:v>
                      </c:pt>
                      <c:pt idx="2">
                        <c:v>35</c:v>
                      </c:pt>
                      <c:pt idx="3">
                        <c:v>8</c:v>
                      </c:pt>
                      <c:pt idx="4">
                        <c:v>3</c:v>
                      </c:pt>
                    </c:numCache>
                  </c:numRef>
                </c:val>
                <c:extLst>
                  <c:ext xmlns:c16="http://schemas.microsoft.com/office/drawing/2014/chart" uri="{C3380CC4-5D6E-409C-BE32-E72D297353CC}">
                    <c16:uniqueId val="{00000001-3C00-43B1-9BD6-EC6C1E7B2589}"/>
                  </c:ext>
                </c:extLst>
              </c15:ser>
            </c15:filteredBarSeries>
          </c:ext>
        </c:extLst>
      </c:barChart>
      <c:catAx>
        <c:axId val="928986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986552"/>
        <c:crosses val="autoZero"/>
        <c:auto val="1"/>
        <c:lblAlgn val="ctr"/>
        <c:lblOffset val="100"/>
        <c:noMultiLvlLbl val="0"/>
      </c:catAx>
      <c:valAx>
        <c:axId val="928986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ED Presentations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9862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14623</Words>
  <Characters>90146</Characters>
  <Application>Microsoft Office Word</Application>
  <DocSecurity>0</DocSecurity>
  <Lines>751</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2025-03-20T05:02:00Z</dcterms:created>
  <dcterms:modified xsi:type="dcterms:W3CDTF">2025-03-20T05:02:00Z</dcterms:modified>
</cp:coreProperties>
</file>