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16D78" w14:textId="354CADD3" w:rsidR="00E551D2" w:rsidRDefault="008A1A89" w:rsidP="009643E4">
      <w:pPr>
        <w:pStyle w:val="CoverTitleMain"/>
      </w:pPr>
      <w:bookmarkStart w:id="0" w:name="_GoBack"/>
      <w:bookmarkEnd w:id="0"/>
      <w:r>
        <w:rPr>
          <w:b/>
          <w:bCs/>
        </w:rPr>
        <w:t>Securing Australians’ Superannuation Package</w:t>
      </w:r>
      <w:r w:rsidR="009643E4">
        <w:br/>
      </w:r>
      <w:r>
        <w:t>Additional Impact Analysis</w:t>
      </w:r>
    </w:p>
    <w:p w14:paraId="67A1825D" w14:textId="20955C4A" w:rsidR="00193C92" w:rsidRDefault="008A1A89" w:rsidP="009643E4">
      <w:pPr>
        <w:pStyle w:val="CoverTitleSub"/>
      </w:pPr>
      <w:r>
        <w:t>The Treasury</w:t>
      </w:r>
    </w:p>
    <w:p w14:paraId="3A1307AC" w14:textId="179533F0" w:rsidR="000029ED" w:rsidRDefault="000029ED" w:rsidP="000029ED">
      <w:pPr>
        <w:pStyle w:val="CoverDate"/>
        <w:rPr>
          <w:rStyle w:val="ReportDateChar"/>
        </w:rPr>
        <w:sectPr w:rsidR="000029ED" w:rsidSect="00BA38FA">
          <w:headerReference w:type="even" r:id="rId7"/>
          <w:headerReference w:type="default" r:id="rId8"/>
          <w:footerReference w:type="even" r:id="rId9"/>
          <w:footerReference w:type="default" r:id="rId10"/>
          <w:headerReference w:type="first" r:id="rId11"/>
          <w:footerReference w:type="first" r:id="rId12"/>
          <w:type w:val="oddPage"/>
          <w:pgSz w:w="11906" w:h="16838"/>
          <w:pgMar w:top="1418" w:right="1418" w:bottom="1418" w:left="1418" w:header="709" w:footer="709" w:gutter="0"/>
          <w:pgNumType w:fmt="lowerRoman"/>
          <w:cols w:space="708"/>
          <w:titlePg/>
          <w:docGrid w:linePitch="360"/>
        </w:sectPr>
      </w:pPr>
    </w:p>
    <w:p w14:paraId="1C72DBDF" w14:textId="67081046" w:rsidR="000029ED" w:rsidRDefault="00BF123E" w:rsidP="00EA5697">
      <w:pPr>
        <w:pStyle w:val="Heading1"/>
      </w:pPr>
      <w:r>
        <w:lastRenderedPageBreak/>
        <w:t>Proposal</w:t>
      </w:r>
    </w:p>
    <w:p w14:paraId="3FBACC4E" w14:textId="2E0F21E4" w:rsidR="00BF123E" w:rsidRPr="00BF123E" w:rsidRDefault="00BF123E" w:rsidP="00BF123E">
      <w:r w:rsidRPr="00BF123E">
        <w:t xml:space="preserve">The Australian Taxation Office’s (ATO) Small Business Superannuation Clearing House (SBS Clearing House) is a free service that allows eligible Australian employers to meet their superannuation guarantee (SG) obligations. To be eligible to use the free ATO SBS Clearing House, an employer must have either 19 or fewer employees, or an annual aggregated turnover of less than $10 million.  Eligibility is assessed each time an employer uses the service. It is estimated there is currently around 270,000 users of the ATO SBS Clearing House. </w:t>
      </w:r>
    </w:p>
    <w:p w14:paraId="7C3CA856" w14:textId="77777777" w:rsidR="00BF123E" w:rsidRPr="00BF123E" w:rsidRDefault="00BF123E" w:rsidP="00BF123E">
      <w:r w:rsidRPr="00BF123E">
        <w:t xml:space="preserve">Broadly, clearing houses (including the ATO SBS Clearing House) act as an intermediary between an employer and a superannuation fund. Clearing houses will pay superannuation contributions to each employee’s superannuation fund on behalf of an employer, provided the employer sends both the payment and matching data file to the clearing house. Clearing houses allow an employer to be </w:t>
      </w:r>
      <w:proofErr w:type="spellStart"/>
      <w:r w:rsidRPr="00BF123E">
        <w:t>SuperStream</w:t>
      </w:r>
      <w:proofErr w:type="spellEnd"/>
      <w:r w:rsidRPr="00BF123E">
        <w:t xml:space="preserve"> compliant by using this standard format. Currently, employers would need to engage with a clearing house service at a minimum of four times a year to fulfil their superannuation obligations under the current legislated quarterly payment model (the due date for SG contributions is 28 days after the end of each quarter). </w:t>
      </w:r>
    </w:p>
    <w:p w14:paraId="059F15AA" w14:textId="3E12DE42" w:rsidR="00BF123E" w:rsidRPr="00BF123E" w:rsidRDefault="00BF123E" w:rsidP="00BF123E">
      <w:r w:rsidRPr="00BF123E">
        <w:t xml:space="preserve">As part of the Securing Australians’ Superannuation package, it is proposed the ATO SBS Clearing House be retired prior to the commencement of Super on Payday on 1 July 2026. In place of the ATO SBS Clearing House, small businesses would transition to a commercially available clearing house to make any future superannuation contributions. This would allow small businesses to still be </w:t>
      </w:r>
      <w:proofErr w:type="spellStart"/>
      <w:r w:rsidRPr="00BF123E">
        <w:t>SuperStream</w:t>
      </w:r>
      <w:proofErr w:type="spellEnd"/>
      <w:r w:rsidRPr="00BF123E">
        <w:t xml:space="preserve"> compliant, while also being more efficient for employers as the majority can utilise their existing payroll software (rather than leaving their existing business systems to make payment through the ATO’s SBS Clearing House).</w:t>
      </w:r>
    </w:p>
    <w:p w14:paraId="5C0E909D" w14:textId="4A2806EA" w:rsidR="00EA5697" w:rsidRDefault="00BF123E" w:rsidP="00EA5697">
      <w:pPr>
        <w:pStyle w:val="Heading1"/>
      </w:pPr>
      <w:r>
        <w:t>Changes to the option presented in the Impact Analysis</w:t>
      </w:r>
    </w:p>
    <w:p w14:paraId="6D7A1EB1" w14:textId="77777777" w:rsidR="00BF123E" w:rsidRDefault="00BF123E" w:rsidP="00BF123E">
      <w:bookmarkStart w:id="1" w:name="_Toc103261348"/>
      <w:r>
        <w:t>Under Option 3 in the Unpaid Superannuation Guarantee (USG) Package Impact Analysis, it was anticipated that some commercial clearing houses may need to change their operating revenue models, should clearing houses be required to reduce the amount of time they hold employer superannuation contributions. Superannuation clearing houses may run on an investment model where, rather than charging fees to employers, contributions paid by employers are invested to earn returns before being transferred to the appropriate superannuation funds.</w:t>
      </w:r>
    </w:p>
    <w:p w14:paraId="00F8501C" w14:textId="77777777" w:rsidR="00BF123E" w:rsidRDefault="00BF123E" w:rsidP="00BF123E">
      <w:r>
        <w:t xml:space="preserve">If the amount of time clearing houses could hold employer superannuation contributions was reduced, the USG Impact Analysis anticipated service fees may be passed on to employers (in lieu of investment returns on contributions), and the use of the ATO SBS Clearing House was one way to mitigate the potential risk of higher fees for employers. As the ATO SBS Clearing House will now be retired, with no new registrations accepted from 7 May 2024, impacted small business employers will be required to find an alternative clearing house to make contributions from 1 July 2026. </w:t>
      </w:r>
    </w:p>
    <w:p w14:paraId="5125F38D" w14:textId="77777777" w:rsidR="00BF123E" w:rsidRDefault="00BF123E" w:rsidP="00BF123E">
      <w:r>
        <w:t xml:space="preserve">This change results in a minor increase in average annual regulatory costs for current users of the ATO SBS Clearing House, as outlined below. </w:t>
      </w:r>
    </w:p>
    <w:bookmarkEnd w:id="1"/>
    <w:p w14:paraId="564A48B3" w14:textId="6AD153B7" w:rsidR="00EA5697" w:rsidRPr="007835B0" w:rsidRDefault="00BF123E" w:rsidP="007835B0">
      <w:pPr>
        <w:pStyle w:val="Heading1"/>
      </w:pPr>
      <w:r>
        <w:lastRenderedPageBreak/>
        <w:t>Additional impacts to businesses</w:t>
      </w:r>
    </w:p>
    <w:p w14:paraId="197AB859" w14:textId="77777777" w:rsidR="00BF123E" w:rsidRPr="009B3A61" w:rsidRDefault="00BF123E" w:rsidP="00BF123E">
      <w:pPr>
        <w:rPr>
          <w:i/>
          <w:iCs/>
          <w:color w:val="000000"/>
          <w:shd w:val="clear" w:color="auto" w:fill="FFFFFF"/>
        </w:rPr>
      </w:pPr>
      <w:bookmarkStart w:id="2" w:name="_Toc103261349"/>
      <w:r w:rsidRPr="0038203B">
        <w:rPr>
          <w:i/>
          <w:iCs/>
          <w:u w:val="single"/>
        </w:rPr>
        <w:t xml:space="preserve">Impacts of Retiring the ATO </w:t>
      </w:r>
      <w:r>
        <w:rPr>
          <w:i/>
          <w:iCs/>
          <w:u w:val="single"/>
        </w:rPr>
        <w:t>SBS Clearing House</w:t>
      </w:r>
    </w:p>
    <w:p w14:paraId="13FEEB1A" w14:textId="77777777" w:rsidR="00BF123E" w:rsidRDefault="00BF123E" w:rsidP="00BF123E">
      <w:pPr>
        <w:pStyle w:val="OutlineNumbered1"/>
        <w:numPr>
          <w:ilvl w:val="0"/>
          <w:numId w:val="0"/>
        </w:numPr>
      </w:pPr>
      <w:r>
        <w:t xml:space="preserve">Largely, payroll products provided by digital service providers (DSP) are based upon a monthly subscription model. This subscription includes access to payroll software and may also include the ability to make superannuation payments through a clearing house (super integrated). </w:t>
      </w:r>
    </w:p>
    <w:p w14:paraId="358E03D6" w14:textId="77777777" w:rsidR="00BF123E" w:rsidRDefault="00BF123E" w:rsidP="00BF123E">
      <w:pPr>
        <w:pStyle w:val="OutlineNumbered1"/>
        <w:numPr>
          <w:ilvl w:val="0"/>
          <w:numId w:val="0"/>
        </w:numPr>
      </w:pPr>
      <w:r>
        <w:t xml:space="preserve">The ATO has visibility over most of the software products their SBS Clearing House users currently use through the data they send when paying salary and wages. Data indicates that the majority of ATO SBS Clearing House users already use a payroll product that has clearing house functionality, estimated at around 85 per cent of users. </w:t>
      </w:r>
    </w:p>
    <w:p w14:paraId="2435F5D8" w14:textId="77777777" w:rsidR="00BF123E" w:rsidRDefault="00BF123E" w:rsidP="00BF123E">
      <w:pPr>
        <w:pStyle w:val="OutlineNumbered1"/>
        <w:numPr>
          <w:ilvl w:val="0"/>
          <w:numId w:val="0"/>
        </w:numPr>
      </w:pPr>
      <w:r>
        <w:t>A limitation in this data is the ATO are unable to identify which subscription package an employer is currently using. While most ATO SBS Clearing House users already use a payroll software product which has clearing house functionality, this feature may or may not be included in their subscription package. For example, it may be the case that an employer using the ATO SBS Clearing House is already paying a subscription fee that allows them access to a clearing house through their payroll software, but they choose to use the ATO SBS Clearing House. Alternatively, an employer may be paying a subscription fee for payroll software that does not include super being integrated into the product, and therefore uses the SBS Clearing House. In that case, the employer would have to upgrade their subscription to an option that allows them to pay superannuation following the closure of the ATO SBS Clearing House.</w:t>
      </w:r>
    </w:p>
    <w:p w14:paraId="452535C9" w14:textId="77777777" w:rsidR="00BF123E" w:rsidRDefault="00BF123E" w:rsidP="00BF123E">
      <w:pPr>
        <w:pStyle w:val="OutlineNumbered1"/>
        <w:numPr>
          <w:ilvl w:val="0"/>
          <w:numId w:val="0"/>
        </w:numPr>
      </w:pPr>
      <w:r>
        <w:t xml:space="preserve">For those employers who aren’t already paying for superannuation integration, they have the option to choose from a range of DSPs at different price points, with differing monthly costs. Depending on the DSP, subscription fees that include superannuation integration can range from being free to $115 per month. Some DSPs offer clearing house services at all price points, while others have a tiered approach where superannuation integration is offered at a higher price point. As an example, one employer might be paying $65 per month for a product without superannuation integration, and the same provider offers superannuation integration for an extra $20 per month. It would be up to the employer to weigh up the cost and benefits of the different payroll software options, when the ATO SBS Clearing House is retired. </w:t>
      </w:r>
    </w:p>
    <w:p w14:paraId="3F8D4373" w14:textId="77777777" w:rsidR="00BF123E" w:rsidRDefault="00BF123E" w:rsidP="00BF123E">
      <w:pPr>
        <w:pStyle w:val="OutlineNumbered1"/>
        <w:numPr>
          <w:ilvl w:val="0"/>
          <w:numId w:val="0"/>
        </w:numPr>
      </w:pPr>
      <w:r>
        <w:t>F</w:t>
      </w:r>
      <w:r w:rsidRPr="009C52EF">
        <w:t>or the small subset of employers who do not currently use payroll software</w:t>
      </w:r>
      <w:r>
        <w:t xml:space="preserve"> which has clearing house functionality</w:t>
      </w:r>
      <w:r w:rsidRPr="009C52EF">
        <w:t>, there may be an additional fee to access this functionality once the</w:t>
      </w:r>
      <w:r>
        <w:t xml:space="preserve"> ATO</w:t>
      </w:r>
      <w:r w:rsidRPr="009C52EF">
        <w:t xml:space="preserve"> SBS</w:t>
      </w:r>
      <w:r>
        <w:t xml:space="preserve"> </w:t>
      </w:r>
      <w:r w:rsidRPr="009C52EF">
        <w:t>C</w:t>
      </w:r>
      <w:r>
        <w:t xml:space="preserve">learing </w:t>
      </w:r>
      <w:r w:rsidRPr="009C52EF">
        <w:t>H</w:t>
      </w:r>
      <w:r>
        <w:t>ouse</w:t>
      </w:r>
      <w:r w:rsidRPr="009C52EF">
        <w:t xml:space="preserve"> is retired.</w:t>
      </w:r>
      <w:r>
        <w:t xml:space="preserve"> As noted above, there are a range of DSPs offering subscriptions to superannuation integrated payroll software products at differing price points. Employers will need to determine which product works best for them, but any additional cost is expected to be modest. </w:t>
      </w:r>
    </w:p>
    <w:p w14:paraId="29616E0B" w14:textId="77777777" w:rsidR="00BF123E" w:rsidRDefault="00BF123E" w:rsidP="00BF123E">
      <w:pPr>
        <w:spacing w:before="100" w:beforeAutospacing="1" w:after="100" w:afterAutospacing="1"/>
      </w:pPr>
      <w:r>
        <w:t>It is expected that industry has the capacity to cover what the ATO SBS Clearing House service currently provides. Of current ATO SBS Clearing House users,</w:t>
      </w:r>
      <w:r w:rsidRPr="00D140F4">
        <w:t xml:space="preserve"> around 85 per cent us</w:t>
      </w:r>
      <w:r>
        <w:t>e</w:t>
      </w:r>
      <w:r w:rsidRPr="00D140F4">
        <w:t xml:space="preserve"> one of the top five payroll</w:t>
      </w:r>
      <w:r>
        <w:t xml:space="preserve"> software</w:t>
      </w:r>
      <w:r w:rsidRPr="00D140F4">
        <w:t xml:space="preserve"> products, with 65 per cent being in the top two digital products on the market. These DSPs offer a range of options to integrate payroll and super</w:t>
      </w:r>
      <w:r>
        <w:t>annuation</w:t>
      </w:r>
      <w:r w:rsidRPr="00D140F4">
        <w:t xml:space="preserve"> which employers could already utilise.</w:t>
      </w:r>
      <w:r>
        <w:t xml:space="preserve"> Given the significant proportion of ATO SBS Clearing House users who already use a commercial payroll software product (and the significant proportion of these products with clearing house functionality), retiring the ATO SBS Clearing House is expected to result in only modest additional demand on commercial providers.</w:t>
      </w:r>
    </w:p>
    <w:p w14:paraId="19C7589E" w14:textId="77777777" w:rsidR="00BF123E" w:rsidRDefault="00BF123E" w:rsidP="00BF123E">
      <w:pPr>
        <w:spacing w:before="100" w:beforeAutospacing="1" w:after="165"/>
      </w:pPr>
      <w:r>
        <w:t xml:space="preserve">In many cases, it will be more efficient for employers to use their existing payroll software to pay superannuation, rather than leaving their existing business systems to use the ATO SBS Clearing House. </w:t>
      </w:r>
    </w:p>
    <w:p w14:paraId="326A2374" w14:textId="77777777" w:rsidR="00BF123E" w:rsidRDefault="00BF123E">
      <w:pPr>
        <w:spacing w:before="0" w:after="200" w:line="276" w:lineRule="auto"/>
        <w:rPr>
          <w:i/>
          <w:iCs/>
          <w:u w:val="single"/>
        </w:rPr>
      </w:pPr>
      <w:r>
        <w:rPr>
          <w:i/>
          <w:iCs/>
          <w:u w:val="single"/>
        </w:rPr>
        <w:br w:type="page"/>
      </w:r>
    </w:p>
    <w:p w14:paraId="0F9F56DB" w14:textId="5FE6C03F" w:rsidR="00BF123E" w:rsidRPr="00B0053B" w:rsidRDefault="00BF123E" w:rsidP="00BF123E">
      <w:pPr>
        <w:spacing w:before="100" w:beforeAutospacing="1" w:after="165"/>
        <w:rPr>
          <w:i/>
          <w:iCs/>
          <w:u w:val="single"/>
        </w:rPr>
      </w:pPr>
      <w:r>
        <w:rPr>
          <w:i/>
          <w:iCs/>
          <w:u w:val="single"/>
        </w:rPr>
        <w:lastRenderedPageBreak/>
        <w:t>Impact of changes to clearing house operating model</w:t>
      </w:r>
    </w:p>
    <w:p w14:paraId="6ED3BE89" w14:textId="77777777" w:rsidR="00BF123E" w:rsidRDefault="00BF123E" w:rsidP="00BF123E">
      <w:pPr>
        <w:pStyle w:val="OutlineNumbered1"/>
        <w:numPr>
          <w:ilvl w:val="0"/>
          <w:numId w:val="0"/>
        </w:numPr>
      </w:pPr>
      <w:r>
        <w:t xml:space="preserve">While the USG Package Impact Analysis contemplates potential changes to commercial clearing houses operating models, the impact of this change on employers is unquantifiable. Further, as mentioned in the USG Package Impact Analysis changes to the way superannuation guarantee payments are made (such as via the New Payments Platform) will decrease transaction time and may organically change the way clearing houses generate revenue. </w:t>
      </w:r>
    </w:p>
    <w:p w14:paraId="4C4189B3" w14:textId="77777777" w:rsidR="00BF123E" w:rsidRPr="00721CE6" w:rsidRDefault="00BF123E" w:rsidP="00BF123E">
      <w:pPr>
        <w:pStyle w:val="OutlineNumbered1"/>
        <w:numPr>
          <w:ilvl w:val="0"/>
          <w:numId w:val="0"/>
        </w:numPr>
      </w:pPr>
      <w:r>
        <w:t xml:space="preserve">Therefore, the regulatory impact on employers with respect to a potential increase in clearing house service fees is unquantifiable. </w:t>
      </w:r>
    </w:p>
    <w:bookmarkEnd w:id="2"/>
    <w:p w14:paraId="06C51F03" w14:textId="77777777" w:rsidR="00BF123E" w:rsidRDefault="00BF123E" w:rsidP="004E0AE7">
      <w:pPr>
        <w:rPr>
          <w:rFonts w:ascii="Calibri" w:hAnsi="Calibri" w:cs="Arial"/>
          <w:b/>
          <w:color w:val="5D779D" w:themeColor="accent3"/>
          <w:kern w:val="32"/>
          <w:sz w:val="44"/>
          <w:szCs w:val="36"/>
        </w:rPr>
      </w:pPr>
      <w:r w:rsidRPr="00BF123E">
        <w:rPr>
          <w:rFonts w:ascii="Calibri" w:hAnsi="Calibri" w:cs="Arial"/>
          <w:b/>
          <w:color w:val="5D779D" w:themeColor="accent3"/>
          <w:kern w:val="32"/>
          <w:sz w:val="44"/>
          <w:szCs w:val="36"/>
        </w:rPr>
        <w:t xml:space="preserve">Does the proposal change the option with the greatest net benefit and therefore the recommended option? </w:t>
      </w:r>
    </w:p>
    <w:p w14:paraId="62969421" w14:textId="77777777" w:rsidR="00BF123E" w:rsidRDefault="00BF123E" w:rsidP="00BF123E">
      <w:pPr>
        <w:pStyle w:val="OutlineNumbered1"/>
        <w:numPr>
          <w:ilvl w:val="0"/>
          <w:numId w:val="0"/>
        </w:numPr>
      </w:pPr>
      <w:r>
        <w:t>A</w:t>
      </w:r>
      <w:r w:rsidRPr="0099786C">
        <w:t>s recommended in the USG Impact Analysis, both Option 2 and 3 still provide the greatest net benefit</w:t>
      </w:r>
      <w:r>
        <w:t xml:space="preserve">, with these policy options continuing to provide for the greatest reduction in unpaid superannuation. </w:t>
      </w:r>
      <w:r w:rsidRPr="0099786C">
        <w:t xml:space="preserve"> </w:t>
      </w:r>
    </w:p>
    <w:p w14:paraId="45BD9E37" w14:textId="77777777" w:rsidR="00BF123E" w:rsidRDefault="00BF123E" w:rsidP="00BF123E">
      <w:r>
        <w:t>R</w:t>
      </w:r>
      <w:r w:rsidRPr="00276813">
        <w:t xml:space="preserve">etiring the ATO SBS Clearing House </w:t>
      </w:r>
      <w:r>
        <w:t xml:space="preserve">is expected to only modestly </w:t>
      </w:r>
      <w:r w:rsidRPr="00276813">
        <w:t>increase the average annual regulatory burden on employers by $1.2 million</w:t>
      </w:r>
      <w:r>
        <w:t xml:space="preserve">. This changes the average annual regulatory cost of Option 3 from $136.0 million to $137.2 million as outlined below (see Tables 1 and 2). There are no changes to the average annual regulatory costs of Option 2, as this only provides funding for the ATO to upgrade their data matching infrastructure. </w:t>
      </w:r>
      <w:r w:rsidRPr="00276813">
        <w:t>Th</w:t>
      </w:r>
      <w:r>
        <w:t>e</w:t>
      </w:r>
      <w:r w:rsidRPr="00276813">
        <w:t xml:space="preserve"> increase</w:t>
      </w:r>
      <w:r>
        <w:t xml:space="preserve"> in average annual regulatory burden</w:t>
      </w:r>
      <w:r w:rsidRPr="00276813">
        <w:t xml:space="preserve"> </w:t>
      </w:r>
      <w:r>
        <w:t xml:space="preserve">under Option 3 </w:t>
      </w:r>
      <w:r w:rsidRPr="00276813">
        <w:t>is due to current users of the SBS Clearing House spending an additional amount of time either:</w:t>
      </w:r>
      <w:r>
        <w:t xml:space="preserve"> </w:t>
      </w:r>
    </w:p>
    <w:p w14:paraId="166B70DC" w14:textId="77777777" w:rsidR="00BF123E" w:rsidRDefault="00BF123E" w:rsidP="00BF123E">
      <w:pPr>
        <w:pStyle w:val="Bullet"/>
        <w:numPr>
          <w:ilvl w:val="0"/>
          <w:numId w:val="44"/>
        </w:numPr>
        <w:tabs>
          <w:tab w:val="clear" w:pos="720"/>
        </w:tabs>
        <w:spacing w:before="100" w:beforeAutospacing="1" w:after="100" w:afterAutospacing="1" w:line="240" w:lineRule="auto"/>
      </w:pPr>
      <w:r>
        <w:t xml:space="preserve">Subscribing to a new payroll software with superannuation integrated; or </w:t>
      </w:r>
    </w:p>
    <w:p w14:paraId="32D56956" w14:textId="77777777" w:rsidR="00BF123E" w:rsidRDefault="00BF123E" w:rsidP="00BF123E">
      <w:pPr>
        <w:pStyle w:val="Bullet"/>
        <w:numPr>
          <w:ilvl w:val="0"/>
          <w:numId w:val="44"/>
        </w:numPr>
        <w:tabs>
          <w:tab w:val="clear" w:pos="720"/>
        </w:tabs>
        <w:spacing w:before="100" w:beforeAutospacing="1" w:after="100" w:afterAutospacing="1" w:line="240" w:lineRule="auto"/>
      </w:pPr>
      <w:r>
        <w:t xml:space="preserve">remaining in their existing software and upgrading their subscription. </w:t>
      </w:r>
    </w:p>
    <w:p w14:paraId="4036D1AC" w14:textId="77777777" w:rsidR="00BF123E" w:rsidRDefault="00BF123E" w:rsidP="00BF123E">
      <w:pPr>
        <w:pStyle w:val="Bullet"/>
        <w:numPr>
          <w:ilvl w:val="0"/>
          <w:numId w:val="0"/>
        </w:numPr>
      </w:pPr>
      <w:r>
        <w:t xml:space="preserve">The majority of ATO SBS Clearing House users are able to keep their current subscription and utilise the clearing house feature already available in their payroll software. </w:t>
      </w:r>
    </w:p>
    <w:p w14:paraId="12168DA0" w14:textId="77777777" w:rsidR="00BF123E" w:rsidRDefault="00BF123E" w:rsidP="00BF123E">
      <w:r>
        <w:t xml:space="preserve">Alongside the regulatory costs above, the estimated additional cost for employers to subscribe to a commercial clearing house, instead of using the free ATO SBS Clearing House service is $84.2 million. This equates to an annual cost of $1,083 per employer. The underlying assumptions for these figures include that employers will stay with their current DSP to avoid any additional disruption to their regular payroll process. The $84.2 million figure is also an upper bound, assuming employers will upgrade to a higher tier ‘premium’ subscription. Other DSPs do offer cheaper alternatives that include a clearing house feature as part of their software package (see Table 4). DSPs may also provide cheaper superannuation integrated products should there be an increase in demand from employers who currently use the ATO SBS Clearing House. </w:t>
      </w:r>
    </w:p>
    <w:p w14:paraId="0643FA50" w14:textId="77777777" w:rsidR="00BF123E" w:rsidRDefault="00BF123E" w:rsidP="00BF123E">
      <w:r>
        <w:t xml:space="preserve">While it would be an initial increase in cost for some employers to subscribe to a payroll software provider and a further ongoing subscription cost for some employers to use a commercial clearing house solution, it also improves the efficiency for employers to pay superannuation, as they no longer need to leave their existing business systems to make payment through the ATO’s SBS Clearing House. This mitigates some of the impacts in additional subscription costs employers may be required to pay. Further, stakeholder feedback indicated that the current version of the SBS Clearing House would need a significant overhaul to accommodate more frequent superannuation payments. </w:t>
      </w:r>
    </w:p>
    <w:p w14:paraId="64871D25" w14:textId="77777777" w:rsidR="009571EB" w:rsidRPr="00745E1C" w:rsidRDefault="009571EB" w:rsidP="009571EB">
      <w:pPr>
        <w:pStyle w:val="Caption"/>
      </w:pPr>
      <w:r w:rsidRPr="004366AE">
        <w:lastRenderedPageBreak/>
        <w:t xml:space="preserve">Table </w:t>
      </w:r>
      <w:r>
        <w:t>1</w:t>
      </w:r>
      <w:r w:rsidRPr="004366AE">
        <w:t>.</w:t>
      </w:r>
      <w:r>
        <w:t xml:space="preserve"> Revised</w:t>
      </w:r>
      <w:r w:rsidRPr="004366AE">
        <w:t xml:space="preserve"> </w:t>
      </w:r>
      <w:r>
        <w:t>summary of Option 3 impacts ($ million)</w:t>
      </w:r>
    </w:p>
    <w:tbl>
      <w:tblPr>
        <w:tblStyle w:val="PMCDefaultTableStyle"/>
        <w:tblW w:w="0" w:type="auto"/>
        <w:jc w:val="center"/>
        <w:tblLook w:val="0620" w:firstRow="1" w:lastRow="0" w:firstColumn="0" w:lastColumn="0" w:noHBand="1" w:noVBand="1"/>
      </w:tblPr>
      <w:tblGrid>
        <w:gridCol w:w="1843"/>
        <w:gridCol w:w="1983"/>
        <w:gridCol w:w="3116"/>
        <w:gridCol w:w="1306"/>
      </w:tblGrid>
      <w:tr w:rsidR="009571EB" w14:paraId="162B767B" w14:textId="77777777">
        <w:trPr>
          <w:cnfStyle w:val="100000000000" w:firstRow="1" w:lastRow="0" w:firstColumn="0" w:lastColumn="0" w:oddVBand="0" w:evenVBand="0" w:oddHBand="0" w:evenHBand="0" w:firstRowFirstColumn="0" w:firstRowLastColumn="0" w:lastRowFirstColumn="0" w:lastRowLastColumn="0"/>
          <w:trHeight w:val="322"/>
          <w:jc w:val="center"/>
        </w:trPr>
        <w:tc>
          <w:tcPr>
            <w:tcW w:w="1843" w:type="dxa"/>
          </w:tcPr>
          <w:p w14:paraId="2E7603B6" w14:textId="77777777" w:rsidR="009571EB" w:rsidRDefault="009571EB">
            <w:pPr>
              <w:pStyle w:val="BodyText"/>
            </w:pPr>
            <w:r>
              <w:t>Impact</w:t>
            </w:r>
          </w:p>
        </w:tc>
        <w:tc>
          <w:tcPr>
            <w:tcW w:w="1983" w:type="dxa"/>
          </w:tcPr>
          <w:p w14:paraId="00792CD8" w14:textId="77777777" w:rsidR="009571EB" w:rsidRDefault="009571EB">
            <w:pPr>
              <w:pStyle w:val="BodyText"/>
            </w:pPr>
            <w:r>
              <w:t>Group</w:t>
            </w:r>
          </w:p>
        </w:tc>
        <w:tc>
          <w:tcPr>
            <w:tcW w:w="3116" w:type="dxa"/>
          </w:tcPr>
          <w:p w14:paraId="43BA1823" w14:textId="77777777" w:rsidR="009571EB" w:rsidRDefault="009571EB">
            <w:pPr>
              <w:pStyle w:val="BodyText"/>
            </w:pPr>
            <w:r>
              <w:t>Type of impact</w:t>
            </w:r>
          </w:p>
        </w:tc>
        <w:tc>
          <w:tcPr>
            <w:tcW w:w="1306" w:type="dxa"/>
          </w:tcPr>
          <w:p w14:paraId="553CBCFF" w14:textId="77777777" w:rsidR="009571EB" w:rsidRDefault="009571EB">
            <w:pPr>
              <w:pStyle w:val="BodyText"/>
            </w:pPr>
            <w:r>
              <w:t>Impact</w:t>
            </w:r>
          </w:p>
        </w:tc>
      </w:tr>
      <w:tr w:rsidR="009571EB" w:rsidRPr="0015537B" w14:paraId="29B4A5C2" w14:textId="77777777">
        <w:trPr>
          <w:trHeight w:val="322"/>
          <w:jc w:val="center"/>
        </w:trPr>
        <w:tc>
          <w:tcPr>
            <w:tcW w:w="1843" w:type="dxa"/>
            <w:vMerge w:val="restart"/>
          </w:tcPr>
          <w:p w14:paraId="1C6CF91E" w14:textId="77777777" w:rsidR="009571EB" w:rsidRPr="00AE5E88" w:rsidRDefault="009571EB">
            <w:pPr>
              <w:rPr>
                <w:szCs w:val="18"/>
              </w:rPr>
            </w:pPr>
            <w:r>
              <w:rPr>
                <w:szCs w:val="18"/>
              </w:rPr>
              <w:t xml:space="preserve">3. </w:t>
            </w:r>
            <w:r w:rsidRPr="00AE5E88">
              <w:rPr>
                <w:szCs w:val="18"/>
              </w:rPr>
              <w:t>More frequent SG payments</w:t>
            </w:r>
          </w:p>
          <w:p w14:paraId="1B9DC2BA" w14:textId="77777777" w:rsidR="009571EB" w:rsidRPr="00AE5E88" w:rsidRDefault="009571EB">
            <w:pPr>
              <w:rPr>
                <w:szCs w:val="18"/>
              </w:rPr>
            </w:pPr>
          </w:p>
        </w:tc>
        <w:tc>
          <w:tcPr>
            <w:tcW w:w="1983" w:type="dxa"/>
          </w:tcPr>
          <w:p w14:paraId="0E441059" w14:textId="77777777" w:rsidR="009571EB" w:rsidRDefault="009571EB">
            <w:pPr>
              <w:pStyle w:val="TableBody"/>
              <w:rPr>
                <w:szCs w:val="18"/>
              </w:rPr>
            </w:pPr>
            <w:r>
              <w:rPr>
                <w:szCs w:val="18"/>
              </w:rPr>
              <w:t>Employees</w:t>
            </w:r>
          </w:p>
        </w:tc>
        <w:tc>
          <w:tcPr>
            <w:tcW w:w="3116" w:type="dxa"/>
          </w:tcPr>
          <w:p w14:paraId="6433D157" w14:textId="77777777" w:rsidR="009571EB" w:rsidRDefault="009571EB">
            <w:pPr>
              <w:pStyle w:val="TableBullet"/>
              <w:numPr>
                <w:ilvl w:val="0"/>
                <w:numId w:val="0"/>
              </w:numPr>
              <w:rPr>
                <w:szCs w:val="18"/>
              </w:rPr>
            </w:pPr>
            <w:r>
              <w:rPr>
                <w:szCs w:val="18"/>
              </w:rPr>
              <w:t>Increased compounding of returns</w:t>
            </w:r>
          </w:p>
        </w:tc>
        <w:tc>
          <w:tcPr>
            <w:tcW w:w="1306" w:type="dxa"/>
          </w:tcPr>
          <w:p w14:paraId="32F2DA7C" w14:textId="77777777" w:rsidR="009571EB" w:rsidRDefault="009571EB">
            <w:pPr>
              <w:pStyle w:val="TableNumbering"/>
              <w:numPr>
                <w:ilvl w:val="0"/>
                <w:numId w:val="0"/>
              </w:numPr>
              <w:jc w:val="right"/>
              <w:rPr>
                <w:szCs w:val="18"/>
              </w:rPr>
            </w:pPr>
            <w:r>
              <w:rPr>
                <w:szCs w:val="18"/>
              </w:rPr>
              <w:t>1,368.4</w:t>
            </w:r>
          </w:p>
        </w:tc>
      </w:tr>
      <w:tr w:rsidR="009571EB" w:rsidRPr="0015537B" w14:paraId="7EFC9812" w14:textId="77777777">
        <w:trPr>
          <w:trHeight w:val="322"/>
          <w:jc w:val="center"/>
        </w:trPr>
        <w:tc>
          <w:tcPr>
            <w:tcW w:w="1843" w:type="dxa"/>
            <w:vMerge/>
          </w:tcPr>
          <w:p w14:paraId="1247CDBC" w14:textId="77777777" w:rsidR="009571EB" w:rsidRDefault="009571EB">
            <w:pPr>
              <w:rPr>
                <w:szCs w:val="18"/>
              </w:rPr>
            </w:pPr>
          </w:p>
        </w:tc>
        <w:tc>
          <w:tcPr>
            <w:tcW w:w="1983" w:type="dxa"/>
          </w:tcPr>
          <w:p w14:paraId="67AC58FF" w14:textId="77777777" w:rsidR="009571EB" w:rsidRDefault="009571EB">
            <w:pPr>
              <w:pStyle w:val="TableBody"/>
              <w:rPr>
                <w:szCs w:val="18"/>
              </w:rPr>
            </w:pPr>
            <w:r>
              <w:rPr>
                <w:szCs w:val="18"/>
              </w:rPr>
              <w:t>Superannuation funds</w:t>
            </w:r>
          </w:p>
        </w:tc>
        <w:tc>
          <w:tcPr>
            <w:tcW w:w="3116" w:type="dxa"/>
          </w:tcPr>
          <w:p w14:paraId="59DF1536" w14:textId="77777777" w:rsidR="009571EB" w:rsidRDefault="009571EB">
            <w:pPr>
              <w:pStyle w:val="TableBullet"/>
              <w:numPr>
                <w:ilvl w:val="0"/>
                <w:numId w:val="0"/>
              </w:numPr>
              <w:rPr>
                <w:szCs w:val="18"/>
              </w:rPr>
            </w:pPr>
            <w:r>
              <w:rPr>
                <w:szCs w:val="18"/>
              </w:rPr>
              <w:t>Increased fee revenue</w:t>
            </w:r>
          </w:p>
        </w:tc>
        <w:tc>
          <w:tcPr>
            <w:tcW w:w="1306" w:type="dxa"/>
          </w:tcPr>
          <w:p w14:paraId="5E3DAC01" w14:textId="77777777" w:rsidR="009571EB" w:rsidRDefault="009571EB">
            <w:pPr>
              <w:pStyle w:val="TableNumbering"/>
              <w:numPr>
                <w:ilvl w:val="0"/>
                <w:numId w:val="0"/>
              </w:numPr>
              <w:jc w:val="right"/>
              <w:rPr>
                <w:szCs w:val="18"/>
              </w:rPr>
            </w:pPr>
            <w:r>
              <w:rPr>
                <w:szCs w:val="18"/>
              </w:rPr>
              <w:t>5.7</w:t>
            </w:r>
          </w:p>
        </w:tc>
      </w:tr>
      <w:tr w:rsidR="009571EB" w:rsidRPr="0015537B" w14:paraId="32DAFABF" w14:textId="77777777">
        <w:trPr>
          <w:trHeight w:val="322"/>
          <w:jc w:val="center"/>
        </w:trPr>
        <w:tc>
          <w:tcPr>
            <w:tcW w:w="1843" w:type="dxa"/>
            <w:vMerge/>
          </w:tcPr>
          <w:p w14:paraId="3B62F874" w14:textId="77777777" w:rsidR="009571EB" w:rsidRDefault="009571EB">
            <w:pPr>
              <w:rPr>
                <w:szCs w:val="18"/>
              </w:rPr>
            </w:pPr>
          </w:p>
        </w:tc>
        <w:tc>
          <w:tcPr>
            <w:tcW w:w="1983" w:type="dxa"/>
          </w:tcPr>
          <w:p w14:paraId="5EE2552D" w14:textId="77777777" w:rsidR="009571EB" w:rsidRDefault="009571EB">
            <w:pPr>
              <w:pStyle w:val="TableBody"/>
              <w:rPr>
                <w:szCs w:val="18"/>
              </w:rPr>
            </w:pPr>
            <w:r>
              <w:rPr>
                <w:szCs w:val="18"/>
              </w:rPr>
              <w:t>Employers</w:t>
            </w:r>
          </w:p>
        </w:tc>
        <w:tc>
          <w:tcPr>
            <w:tcW w:w="3116" w:type="dxa"/>
          </w:tcPr>
          <w:p w14:paraId="2BEA93CA" w14:textId="77777777" w:rsidR="009571EB" w:rsidRDefault="009571EB">
            <w:pPr>
              <w:pStyle w:val="TableBullet"/>
              <w:numPr>
                <w:ilvl w:val="0"/>
                <w:numId w:val="0"/>
              </w:numPr>
              <w:rPr>
                <w:szCs w:val="18"/>
              </w:rPr>
            </w:pPr>
            <w:r>
              <w:rPr>
                <w:szCs w:val="18"/>
              </w:rPr>
              <w:t>Cash-flow adjustments</w:t>
            </w:r>
          </w:p>
        </w:tc>
        <w:tc>
          <w:tcPr>
            <w:tcW w:w="1306" w:type="dxa"/>
          </w:tcPr>
          <w:p w14:paraId="61346A32" w14:textId="77777777" w:rsidR="009571EB" w:rsidRDefault="009571EB">
            <w:pPr>
              <w:pStyle w:val="TableNumbering"/>
              <w:numPr>
                <w:ilvl w:val="0"/>
                <w:numId w:val="0"/>
              </w:numPr>
              <w:jc w:val="right"/>
              <w:rPr>
                <w:szCs w:val="18"/>
              </w:rPr>
            </w:pPr>
            <w:r>
              <w:rPr>
                <w:szCs w:val="18"/>
              </w:rPr>
              <w:t>Unquantifiable</w:t>
            </w:r>
          </w:p>
        </w:tc>
      </w:tr>
      <w:tr w:rsidR="009571EB" w:rsidRPr="0015537B" w14:paraId="2E4EBA0C" w14:textId="77777777">
        <w:trPr>
          <w:trHeight w:val="322"/>
          <w:jc w:val="center"/>
        </w:trPr>
        <w:tc>
          <w:tcPr>
            <w:tcW w:w="1843" w:type="dxa"/>
            <w:vMerge/>
          </w:tcPr>
          <w:p w14:paraId="15D25186" w14:textId="77777777" w:rsidR="009571EB" w:rsidRDefault="009571EB">
            <w:pPr>
              <w:rPr>
                <w:szCs w:val="18"/>
              </w:rPr>
            </w:pPr>
          </w:p>
        </w:tc>
        <w:tc>
          <w:tcPr>
            <w:tcW w:w="1983" w:type="dxa"/>
          </w:tcPr>
          <w:p w14:paraId="408E36E1" w14:textId="77777777" w:rsidR="009571EB" w:rsidRPr="00F335CB" w:rsidRDefault="009571EB">
            <w:pPr>
              <w:pStyle w:val="TableBody"/>
              <w:rPr>
                <w:szCs w:val="18"/>
              </w:rPr>
            </w:pPr>
            <w:r w:rsidRPr="00F335CB">
              <w:rPr>
                <w:szCs w:val="18"/>
              </w:rPr>
              <w:t>Employers</w:t>
            </w:r>
          </w:p>
        </w:tc>
        <w:tc>
          <w:tcPr>
            <w:tcW w:w="3116" w:type="dxa"/>
          </w:tcPr>
          <w:p w14:paraId="2ADC2E3B" w14:textId="77777777" w:rsidR="009571EB" w:rsidRPr="00F335CB" w:rsidRDefault="009571EB">
            <w:pPr>
              <w:pStyle w:val="TableBullet"/>
              <w:numPr>
                <w:ilvl w:val="0"/>
                <w:numId w:val="0"/>
              </w:numPr>
              <w:rPr>
                <w:szCs w:val="18"/>
              </w:rPr>
            </w:pPr>
            <w:r w:rsidRPr="00F335CB">
              <w:rPr>
                <w:szCs w:val="18"/>
              </w:rPr>
              <w:t>Cost of new DSP product</w:t>
            </w:r>
          </w:p>
        </w:tc>
        <w:tc>
          <w:tcPr>
            <w:tcW w:w="1306" w:type="dxa"/>
          </w:tcPr>
          <w:p w14:paraId="5BE654C4" w14:textId="77777777" w:rsidR="009571EB" w:rsidRPr="00F335CB" w:rsidRDefault="009571EB">
            <w:pPr>
              <w:pStyle w:val="TableNumbering"/>
              <w:numPr>
                <w:ilvl w:val="0"/>
                <w:numId w:val="0"/>
              </w:numPr>
              <w:jc w:val="right"/>
              <w:rPr>
                <w:szCs w:val="18"/>
              </w:rPr>
            </w:pPr>
            <w:r w:rsidRPr="00F335CB">
              <w:rPr>
                <w:szCs w:val="18"/>
              </w:rPr>
              <w:t>84.2</w:t>
            </w:r>
          </w:p>
        </w:tc>
      </w:tr>
      <w:tr w:rsidR="009571EB" w:rsidRPr="0015537B" w14:paraId="079497EF" w14:textId="77777777">
        <w:trPr>
          <w:trHeight w:val="322"/>
          <w:jc w:val="center"/>
        </w:trPr>
        <w:tc>
          <w:tcPr>
            <w:tcW w:w="1843" w:type="dxa"/>
            <w:vMerge w:val="restart"/>
          </w:tcPr>
          <w:p w14:paraId="1D4425D8" w14:textId="77777777" w:rsidR="009571EB" w:rsidRDefault="009571EB">
            <w:pPr>
              <w:rPr>
                <w:szCs w:val="18"/>
              </w:rPr>
            </w:pPr>
            <w:r>
              <w:rPr>
                <w:szCs w:val="18"/>
              </w:rPr>
              <w:t>4. Regulatory costs</w:t>
            </w:r>
          </w:p>
        </w:tc>
        <w:tc>
          <w:tcPr>
            <w:tcW w:w="1983" w:type="dxa"/>
          </w:tcPr>
          <w:p w14:paraId="5A6C8DE2" w14:textId="77777777" w:rsidR="009571EB" w:rsidRPr="00F335CB" w:rsidRDefault="009571EB">
            <w:pPr>
              <w:rPr>
                <w:szCs w:val="14"/>
              </w:rPr>
            </w:pPr>
            <w:r w:rsidRPr="00F335CB">
              <w:rPr>
                <w:szCs w:val="14"/>
              </w:rPr>
              <w:t>Employees</w:t>
            </w:r>
          </w:p>
        </w:tc>
        <w:tc>
          <w:tcPr>
            <w:tcW w:w="3116" w:type="dxa"/>
          </w:tcPr>
          <w:p w14:paraId="118BFCB5" w14:textId="77777777" w:rsidR="009571EB" w:rsidRPr="00F335CB" w:rsidRDefault="009571EB">
            <w:pPr>
              <w:pStyle w:val="TableBullet"/>
              <w:numPr>
                <w:ilvl w:val="0"/>
                <w:numId w:val="0"/>
              </w:numPr>
              <w:rPr>
                <w:szCs w:val="18"/>
              </w:rPr>
            </w:pPr>
            <w:r w:rsidRPr="00F335CB">
              <w:rPr>
                <w:szCs w:val="18"/>
              </w:rPr>
              <w:t xml:space="preserve">Automation of manual process  </w:t>
            </w:r>
          </w:p>
        </w:tc>
        <w:tc>
          <w:tcPr>
            <w:tcW w:w="1306" w:type="dxa"/>
          </w:tcPr>
          <w:p w14:paraId="426A6AEB" w14:textId="77777777" w:rsidR="009571EB" w:rsidRPr="00F335CB" w:rsidRDefault="009571EB">
            <w:pPr>
              <w:pStyle w:val="TableNumbering"/>
              <w:numPr>
                <w:ilvl w:val="0"/>
                <w:numId w:val="0"/>
              </w:numPr>
              <w:jc w:val="right"/>
              <w:rPr>
                <w:szCs w:val="18"/>
              </w:rPr>
            </w:pPr>
            <w:r w:rsidRPr="00F335CB">
              <w:rPr>
                <w:szCs w:val="18"/>
              </w:rPr>
              <w:t>(5.5)</w:t>
            </w:r>
          </w:p>
        </w:tc>
      </w:tr>
      <w:tr w:rsidR="009571EB" w:rsidRPr="00820570" w14:paraId="13E26892" w14:textId="77777777">
        <w:trPr>
          <w:trHeight w:val="322"/>
          <w:jc w:val="center"/>
        </w:trPr>
        <w:tc>
          <w:tcPr>
            <w:tcW w:w="1843" w:type="dxa"/>
            <w:vMerge/>
          </w:tcPr>
          <w:p w14:paraId="6A956824" w14:textId="77777777" w:rsidR="009571EB" w:rsidRDefault="009571EB">
            <w:pPr>
              <w:rPr>
                <w:szCs w:val="18"/>
              </w:rPr>
            </w:pPr>
          </w:p>
        </w:tc>
        <w:tc>
          <w:tcPr>
            <w:tcW w:w="1983" w:type="dxa"/>
          </w:tcPr>
          <w:p w14:paraId="00C90F63" w14:textId="77777777" w:rsidR="009571EB" w:rsidRPr="00F335CB" w:rsidRDefault="009571EB">
            <w:pPr>
              <w:rPr>
                <w:szCs w:val="18"/>
              </w:rPr>
            </w:pPr>
            <w:r w:rsidRPr="00F335CB">
              <w:rPr>
                <w:szCs w:val="14"/>
              </w:rPr>
              <w:t>Employers</w:t>
            </w:r>
          </w:p>
        </w:tc>
        <w:tc>
          <w:tcPr>
            <w:tcW w:w="3116" w:type="dxa"/>
          </w:tcPr>
          <w:p w14:paraId="3C60086E" w14:textId="77777777" w:rsidR="009571EB" w:rsidRPr="00F335CB" w:rsidRDefault="009571EB">
            <w:pPr>
              <w:pStyle w:val="TableBullet"/>
              <w:numPr>
                <w:ilvl w:val="0"/>
                <w:numId w:val="0"/>
              </w:numPr>
              <w:rPr>
                <w:szCs w:val="18"/>
              </w:rPr>
            </w:pPr>
            <w:r w:rsidRPr="00F335CB">
              <w:rPr>
                <w:szCs w:val="18"/>
              </w:rPr>
              <w:t>System upgrades</w:t>
            </w:r>
          </w:p>
        </w:tc>
        <w:tc>
          <w:tcPr>
            <w:tcW w:w="1306" w:type="dxa"/>
          </w:tcPr>
          <w:p w14:paraId="4B303808" w14:textId="77777777" w:rsidR="009571EB" w:rsidRPr="00F335CB" w:rsidRDefault="009571EB">
            <w:pPr>
              <w:pStyle w:val="TableNumbering"/>
              <w:numPr>
                <w:ilvl w:val="0"/>
                <w:numId w:val="0"/>
              </w:numPr>
              <w:jc w:val="right"/>
              <w:rPr>
                <w:sz w:val="20"/>
              </w:rPr>
            </w:pPr>
            <w:r w:rsidRPr="00F335CB">
              <w:rPr>
                <w:szCs w:val="18"/>
              </w:rPr>
              <w:t>1,221.0</w:t>
            </w:r>
          </w:p>
        </w:tc>
      </w:tr>
      <w:tr w:rsidR="009571EB" w:rsidRPr="0015537B" w14:paraId="6D23B1ED" w14:textId="77777777">
        <w:trPr>
          <w:trHeight w:val="322"/>
          <w:jc w:val="center"/>
        </w:trPr>
        <w:tc>
          <w:tcPr>
            <w:tcW w:w="1843" w:type="dxa"/>
            <w:vMerge/>
          </w:tcPr>
          <w:p w14:paraId="6FD25E76" w14:textId="77777777" w:rsidR="009571EB" w:rsidRDefault="009571EB">
            <w:pPr>
              <w:rPr>
                <w:szCs w:val="18"/>
              </w:rPr>
            </w:pPr>
          </w:p>
        </w:tc>
        <w:tc>
          <w:tcPr>
            <w:tcW w:w="1983" w:type="dxa"/>
          </w:tcPr>
          <w:p w14:paraId="747EC242" w14:textId="77777777" w:rsidR="009571EB" w:rsidRPr="00F335CB" w:rsidRDefault="009571EB">
            <w:pPr>
              <w:rPr>
                <w:szCs w:val="18"/>
              </w:rPr>
            </w:pPr>
            <w:r w:rsidRPr="00F335CB">
              <w:rPr>
                <w:szCs w:val="18"/>
              </w:rPr>
              <w:t>Employers</w:t>
            </w:r>
          </w:p>
        </w:tc>
        <w:tc>
          <w:tcPr>
            <w:tcW w:w="3116" w:type="dxa"/>
          </w:tcPr>
          <w:p w14:paraId="3DEF65AC" w14:textId="77777777" w:rsidR="009571EB" w:rsidRPr="00F335CB" w:rsidRDefault="009571EB">
            <w:pPr>
              <w:pStyle w:val="TableBullet"/>
              <w:numPr>
                <w:ilvl w:val="0"/>
                <w:numId w:val="0"/>
              </w:numPr>
              <w:rPr>
                <w:szCs w:val="18"/>
              </w:rPr>
            </w:pPr>
            <w:r w:rsidRPr="00F335CB">
              <w:rPr>
                <w:szCs w:val="18"/>
              </w:rPr>
              <w:t xml:space="preserve">Selecting </w:t>
            </w:r>
            <w:r>
              <w:rPr>
                <w:szCs w:val="18"/>
              </w:rPr>
              <w:t xml:space="preserve">a </w:t>
            </w:r>
            <w:r w:rsidRPr="00F335CB">
              <w:rPr>
                <w:szCs w:val="18"/>
              </w:rPr>
              <w:t>DSP product with clearing house service included</w:t>
            </w:r>
          </w:p>
        </w:tc>
        <w:tc>
          <w:tcPr>
            <w:tcW w:w="1306" w:type="dxa"/>
          </w:tcPr>
          <w:p w14:paraId="241C4F87" w14:textId="77777777" w:rsidR="009571EB" w:rsidRPr="00F335CB" w:rsidRDefault="009571EB">
            <w:pPr>
              <w:pStyle w:val="TableNumbering"/>
              <w:numPr>
                <w:ilvl w:val="0"/>
                <w:numId w:val="0"/>
              </w:numPr>
              <w:jc w:val="right"/>
              <w:rPr>
                <w:szCs w:val="18"/>
              </w:rPr>
            </w:pPr>
            <w:r w:rsidRPr="00F335CB">
              <w:rPr>
                <w:szCs w:val="18"/>
              </w:rPr>
              <w:t>12.4</w:t>
            </w:r>
          </w:p>
        </w:tc>
      </w:tr>
      <w:tr w:rsidR="009571EB" w:rsidRPr="0015537B" w14:paraId="1223B5ED" w14:textId="77777777">
        <w:trPr>
          <w:trHeight w:val="322"/>
          <w:jc w:val="center"/>
        </w:trPr>
        <w:tc>
          <w:tcPr>
            <w:tcW w:w="1843" w:type="dxa"/>
            <w:vMerge/>
          </w:tcPr>
          <w:p w14:paraId="0D6DC0AB" w14:textId="77777777" w:rsidR="009571EB" w:rsidRDefault="009571EB">
            <w:pPr>
              <w:rPr>
                <w:szCs w:val="18"/>
              </w:rPr>
            </w:pPr>
          </w:p>
        </w:tc>
        <w:tc>
          <w:tcPr>
            <w:tcW w:w="1983" w:type="dxa"/>
          </w:tcPr>
          <w:p w14:paraId="4685256E" w14:textId="77777777" w:rsidR="009571EB" w:rsidRPr="00F335CB" w:rsidRDefault="009571EB">
            <w:pPr>
              <w:rPr>
                <w:szCs w:val="18"/>
              </w:rPr>
            </w:pPr>
            <w:r w:rsidRPr="00F335CB">
              <w:rPr>
                <w:szCs w:val="18"/>
              </w:rPr>
              <w:t>Clearing houses</w:t>
            </w:r>
          </w:p>
        </w:tc>
        <w:tc>
          <w:tcPr>
            <w:tcW w:w="3116" w:type="dxa"/>
          </w:tcPr>
          <w:p w14:paraId="7CF9C779" w14:textId="77777777" w:rsidR="009571EB" w:rsidRPr="00F335CB" w:rsidRDefault="009571EB">
            <w:pPr>
              <w:pStyle w:val="TableBullet"/>
              <w:numPr>
                <w:ilvl w:val="0"/>
                <w:numId w:val="0"/>
              </w:numPr>
              <w:rPr>
                <w:szCs w:val="18"/>
              </w:rPr>
            </w:pPr>
            <w:r w:rsidRPr="00F335CB">
              <w:rPr>
                <w:szCs w:val="18"/>
              </w:rPr>
              <w:t>System upgrades &amp; fee structure changes</w:t>
            </w:r>
          </w:p>
        </w:tc>
        <w:tc>
          <w:tcPr>
            <w:tcW w:w="1306" w:type="dxa"/>
          </w:tcPr>
          <w:p w14:paraId="156656FC" w14:textId="77777777" w:rsidR="009571EB" w:rsidRPr="00F335CB" w:rsidRDefault="009571EB">
            <w:pPr>
              <w:pStyle w:val="TableNumbering"/>
              <w:numPr>
                <w:ilvl w:val="0"/>
                <w:numId w:val="0"/>
              </w:numPr>
              <w:jc w:val="right"/>
              <w:rPr>
                <w:szCs w:val="18"/>
              </w:rPr>
            </w:pPr>
            <w:r w:rsidRPr="00F335CB">
              <w:rPr>
                <w:szCs w:val="18"/>
              </w:rPr>
              <w:t>0.3</w:t>
            </w:r>
          </w:p>
        </w:tc>
      </w:tr>
      <w:tr w:rsidR="009571EB" w:rsidRPr="0015537B" w14:paraId="44808054" w14:textId="77777777">
        <w:trPr>
          <w:trHeight w:val="322"/>
          <w:jc w:val="center"/>
        </w:trPr>
        <w:tc>
          <w:tcPr>
            <w:tcW w:w="1843" w:type="dxa"/>
            <w:vMerge/>
          </w:tcPr>
          <w:p w14:paraId="7F06F74C" w14:textId="77777777" w:rsidR="009571EB" w:rsidRPr="00DA7726" w:rsidRDefault="009571EB">
            <w:pPr>
              <w:rPr>
                <w:szCs w:val="18"/>
              </w:rPr>
            </w:pPr>
          </w:p>
        </w:tc>
        <w:tc>
          <w:tcPr>
            <w:tcW w:w="1983" w:type="dxa"/>
          </w:tcPr>
          <w:p w14:paraId="494A1346" w14:textId="77777777" w:rsidR="009571EB" w:rsidRPr="00F335CB" w:rsidRDefault="009571EB">
            <w:pPr>
              <w:rPr>
                <w:szCs w:val="18"/>
              </w:rPr>
            </w:pPr>
            <w:r w:rsidRPr="00F335CB">
              <w:rPr>
                <w:szCs w:val="18"/>
              </w:rPr>
              <w:t>Superannuation funds</w:t>
            </w:r>
          </w:p>
        </w:tc>
        <w:tc>
          <w:tcPr>
            <w:tcW w:w="3116" w:type="dxa"/>
          </w:tcPr>
          <w:p w14:paraId="39D2373A" w14:textId="77777777" w:rsidR="009571EB" w:rsidRPr="00F335CB" w:rsidRDefault="009571EB">
            <w:pPr>
              <w:pStyle w:val="TableBullet"/>
              <w:numPr>
                <w:ilvl w:val="0"/>
                <w:numId w:val="0"/>
              </w:numPr>
              <w:rPr>
                <w:szCs w:val="18"/>
              </w:rPr>
            </w:pPr>
            <w:r w:rsidRPr="00F335CB">
              <w:rPr>
                <w:szCs w:val="18"/>
              </w:rPr>
              <w:t>System upgrades</w:t>
            </w:r>
          </w:p>
        </w:tc>
        <w:tc>
          <w:tcPr>
            <w:tcW w:w="1306" w:type="dxa"/>
          </w:tcPr>
          <w:p w14:paraId="509D7AE5" w14:textId="77777777" w:rsidR="009571EB" w:rsidRPr="00F335CB" w:rsidRDefault="009571EB">
            <w:pPr>
              <w:pStyle w:val="TableNumbering"/>
              <w:numPr>
                <w:ilvl w:val="0"/>
                <w:numId w:val="0"/>
              </w:numPr>
              <w:jc w:val="right"/>
              <w:rPr>
                <w:szCs w:val="18"/>
              </w:rPr>
            </w:pPr>
            <w:r w:rsidRPr="00F335CB">
              <w:rPr>
                <w:szCs w:val="18"/>
              </w:rPr>
              <w:t>5.7</w:t>
            </w:r>
          </w:p>
        </w:tc>
      </w:tr>
      <w:tr w:rsidR="009571EB" w:rsidRPr="0015537B" w14:paraId="1925154C" w14:textId="77777777">
        <w:trPr>
          <w:trHeight w:val="322"/>
          <w:jc w:val="center"/>
        </w:trPr>
        <w:tc>
          <w:tcPr>
            <w:tcW w:w="1843" w:type="dxa"/>
            <w:vMerge/>
          </w:tcPr>
          <w:p w14:paraId="10C7E7E4" w14:textId="77777777" w:rsidR="009571EB" w:rsidRDefault="009571EB">
            <w:pPr>
              <w:rPr>
                <w:szCs w:val="18"/>
              </w:rPr>
            </w:pPr>
          </w:p>
        </w:tc>
        <w:tc>
          <w:tcPr>
            <w:tcW w:w="1983" w:type="dxa"/>
          </w:tcPr>
          <w:p w14:paraId="6017D358" w14:textId="77777777" w:rsidR="009571EB" w:rsidRPr="00F335CB" w:rsidRDefault="009571EB">
            <w:pPr>
              <w:rPr>
                <w:szCs w:val="18"/>
              </w:rPr>
            </w:pPr>
            <w:r w:rsidRPr="00F335CB">
              <w:rPr>
                <w:szCs w:val="18"/>
              </w:rPr>
              <w:t>Digital service providers</w:t>
            </w:r>
          </w:p>
        </w:tc>
        <w:tc>
          <w:tcPr>
            <w:tcW w:w="3116" w:type="dxa"/>
          </w:tcPr>
          <w:p w14:paraId="0D13B5AE" w14:textId="77777777" w:rsidR="009571EB" w:rsidRPr="00F335CB" w:rsidRDefault="009571EB">
            <w:pPr>
              <w:pStyle w:val="TableBullet"/>
              <w:numPr>
                <w:ilvl w:val="0"/>
                <w:numId w:val="0"/>
              </w:numPr>
              <w:rPr>
                <w:szCs w:val="18"/>
              </w:rPr>
            </w:pPr>
            <w:r w:rsidRPr="00F335CB">
              <w:rPr>
                <w:szCs w:val="18"/>
              </w:rPr>
              <w:t>System upgrades</w:t>
            </w:r>
          </w:p>
        </w:tc>
        <w:tc>
          <w:tcPr>
            <w:tcW w:w="1306" w:type="dxa"/>
          </w:tcPr>
          <w:p w14:paraId="482D9E77" w14:textId="77777777" w:rsidR="009571EB" w:rsidRPr="00F335CB" w:rsidRDefault="009571EB">
            <w:pPr>
              <w:pStyle w:val="TableNumbering"/>
              <w:numPr>
                <w:ilvl w:val="0"/>
                <w:numId w:val="0"/>
              </w:numPr>
              <w:jc w:val="right"/>
              <w:rPr>
                <w:szCs w:val="18"/>
              </w:rPr>
            </w:pPr>
            <w:r w:rsidRPr="00F335CB">
              <w:rPr>
                <w:szCs w:val="18"/>
              </w:rPr>
              <w:t>10.4</w:t>
            </w:r>
          </w:p>
        </w:tc>
      </w:tr>
      <w:tr w:rsidR="009571EB" w:rsidRPr="0015537B" w14:paraId="1D987764" w14:textId="77777777">
        <w:trPr>
          <w:trHeight w:val="322"/>
          <w:jc w:val="center"/>
        </w:trPr>
        <w:tc>
          <w:tcPr>
            <w:tcW w:w="1843" w:type="dxa"/>
            <w:vMerge/>
          </w:tcPr>
          <w:p w14:paraId="3EAEC4D3" w14:textId="77777777" w:rsidR="009571EB" w:rsidRDefault="009571EB">
            <w:pPr>
              <w:rPr>
                <w:szCs w:val="18"/>
              </w:rPr>
            </w:pPr>
          </w:p>
        </w:tc>
        <w:tc>
          <w:tcPr>
            <w:tcW w:w="1983" w:type="dxa"/>
          </w:tcPr>
          <w:p w14:paraId="51C19FAE" w14:textId="77777777" w:rsidR="009571EB" w:rsidRPr="00F335CB" w:rsidRDefault="009571EB">
            <w:pPr>
              <w:rPr>
                <w:szCs w:val="18"/>
              </w:rPr>
            </w:pPr>
            <w:r w:rsidRPr="00F335CB">
              <w:rPr>
                <w:szCs w:val="14"/>
              </w:rPr>
              <w:t>Employers</w:t>
            </w:r>
          </w:p>
        </w:tc>
        <w:tc>
          <w:tcPr>
            <w:tcW w:w="3116" w:type="dxa"/>
          </w:tcPr>
          <w:p w14:paraId="0C17A590" w14:textId="77777777" w:rsidR="009571EB" w:rsidRPr="00F335CB" w:rsidRDefault="009571EB">
            <w:pPr>
              <w:pStyle w:val="TableBullet"/>
              <w:numPr>
                <w:ilvl w:val="0"/>
                <w:numId w:val="0"/>
              </w:numPr>
              <w:rPr>
                <w:szCs w:val="18"/>
              </w:rPr>
            </w:pPr>
            <w:r w:rsidRPr="00F335CB">
              <w:rPr>
                <w:szCs w:val="18"/>
              </w:rPr>
              <w:t>Understanding new regulations</w:t>
            </w:r>
          </w:p>
        </w:tc>
        <w:tc>
          <w:tcPr>
            <w:tcW w:w="1306" w:type="dxa"/>
          </w:tcPr>
          <w:p w14:paraId="02374681" w14:textId="77777777" w:rsidR="009571EB" w:rsidRPr="00F335CB" w:rsidRDefault="009571EB">
            <w:pPr>
              <w:pStyle w:val="TableNumbering"/>
              <w:numPr>
                <w:ilvl w:val="0"/>
                <w:numId w:val="0"/>
              </w:numPr>
              <w:jc w:val="right"/>
              <w:rPr>
                <w:szCs w:val="18"/>
              </w:rPr>
            </w:pPr>
            <w:r w:rsidRPr="00F335CB">
              <w:rPr>
                <w:szCs w:val="18"/>
              </w:rPr>
              <w:t xml:space="preserve">126.8 </w:t>
            </w:r>
          </w:p>
        </w:tc>
      </w:tr>
      <w:tr w:rsidR="009571EB" w:rsidRPr="0015537B" w14:paraId="07341246" w14:textId="77777777">
        <w:trPr>
          <w:trHeight w:val="322"/>
          <w:jc w:val="center"/>
        </w:trPr>
        <w:tc>
          <w:tcPr>
            <w:tcW w:w="1843" w:type="dxa"/>
            <w:vMerge/>
          </w:tcPr>
          <w:p w14:paraId="7D28F777" w14:textId="77777777" w:rsidR="009571EB" w:rsidRDefault="009571EB">
            <w:pPr>
              <w:rPr>
                <w:szCs w:val="18"/>
              </w:rPr>
            </w:pPr>
          </w:p>
        </w:tc>
        <w:tc>
          <w:tcPr>
            <w:tcW w:w="1983" w:type="dxa"/>
          </w:tcPr>
          <w:p w14:paraId="27AA93A8" w14:textId="77777777" w:rsidR="009571EB" w:rsidRPr="00F335CB" w:rsidRDefault="009571EB">
            <w:pPr>
              <w:rPr>
                <w:szCs w:val="18"/>
              </w:rPr>
            </w:pPr>
            <w:r w:rsidRPr="00F335CB">
              <w:rPr>
                <w:szCs w:val="18"/>
              </w:rPr>
              <w:t>Clearing houses</w:t>
            </w:r>
          </w:p>
        </w:tc>
        <w:tc>
          <w:tcPr>
            <w:tcW w:w="3116" w:type="dxa"/>
          </w:tcPr>
          <w:p w14:paraId="55EF5E95" w14:textId="77777777" w:rsidR="009571EB" w:rsidRPr="00F335CB" w:rsidRDefault="009571EB">
            <w:pPr>
              <w:pStyle w:val="TableBullet"/>
              <w:numPr>
                <w:ilvl w:val="0"/>
                <w:numId w:val="0"/>
              </w:numPr>
              <w:rPr>
                <w:szCs w:val="18"/>
              </w:rPr>
            </w:pPr>
            <w:r w:rsidRPr="00F335CB">
              <w:rPr>
                <w:szCs w:val="18"/>
              </w:rPr>
              <w:t>Understanding new regulations</w:t>
            </w:r>
          </w:p>
        </w:tc>
        <w:tc>
          <w:tcPr>
            <w:tcW w:w="1306" w:type="dxa"/>
          </w:tcPr>
          <w:p w14:paraId="5B0C7011" w14:textId="77777777" w:rsidR="009571EB" w:rsidRPr="00F335CB" w:rsidRDefault="009571EB">
            <w:pPr>
              <w:pStyle w:val="TableNumbering"/>
              <w:numPr>
                <w:ilvl w:val="0"/>
                <w:numId w:val="0"/>
              </w:numPr>
              <w:jc w:val="right"/>
              <w:rPr>
                <w:szCs w:val="18"/>
              </w:rPr>
            </w:pPr>
            <w:r w:rsidRPr="00F335CB">
              <w:rPr>
                <w:szCs w:val="18"/>
              </w:rPr>
              <w:t>0.0</w:t>
            </w:r>
          </w:p>
        </w:tc>
      </w:tr>
      <w:tr w:rsidR="009571EB" w:rsidRPr="0015537B" w14:paraId="0DC49F48" w14:textId="77777777">
        <w:trPr>
          <w:trHeight w:val="322"/>
          <w:jc w:val="center"/>
        </w:trPr>
        <w:tc>
          <w:tcPr>
            <w:tcW w:w="1843" w:type="dxa"/>
            <w:vMerge/>
          </w:tcPr>
          <w:p w14:paraId="73ADAF97" w14:textId="77777777" w:rsidR="009571EB" w:rsidRDefault="009571EB">
            <w:pPr>
              <w:rPr>
                <w:szCs w:val="18"/>
              </w:rPr>
            </w:pPr>
          </w:p>
        </w:tc>
        <w:tc>
          <w:tcPr>
            <w:tcW w:w="1983" w:type="dxa"/>
          </w:tcPr>
          <w:p w14:paraId="69361B7B" w14:textId="77777777" w:rsidR="009571EB" w:rsidRPr="00F335CB" w:rsidRDefault="009571EB">
            <w:pPr>
              <w:rPr>
                <w:szCs w:val="18"/>
              </w:rPr>
            </w:pPr>
            <w:r w:rsidRPr="00F335CB">
              <w:rPr>
                <w:szCs w:val="18"/>
              </w:rPr>
              <w:t>Superannuation funds</w:t>
            </w:r>
          </w:p>
        </w:tc>
        <w:tc>
          <w:tcPr>
            <w:tcW w:w="3116" w:type="dxa"/>
          </w:tcPr>
          <w:p w14:paraId="5BC91F9D" w14:textId="77777777" w:rsidR="009571EB" w:rsidRPr="00F335CB" w:rsidRDefault="009571EB">
            <w:pPr>
              <w:pStyle w:val="TableBullet"/>
              <w:numPr>
                <w:ilvl w:val="0"/>
                <w:numId w:val="0"/>
              </w:numPr>
              <w:rPr>
                <w:szCs w:val="18"/>
              </w:rPr>
            </w:pPr>
            <w:r w:rsidRPr="00F335CB">
              <w:rPr>
                <w:szCs w:val="18"/>
              </w:rPr>
              <w:t>Understanding new regulations</w:t>
            </w:r>
          </w:p>
        </w:tc>
        <w:tc>
          <w:tcPr>
            <w:tcW w:w="1306" w:type="dxa"/>
          </w:tcPr>
          <w:p w14:paraId="4DCEB362" w14:textId="77777777" w:rsidR="009571EB" w:rsidRPr="00F335CB" w:rsidRDefault="009571EB">
            <w:pPr>
              <w:pStyle w:val="TableNumbering"/>
              <w:numPr>
                <w:ilvl w:val="0"/>
                <w:numId w:val="0"/>
              </w:numPr>
              <w:jc w:val="right"/>
              <w:rPr>
                <w:szCs w:val="18"/>
              </w:rPr>
            </w:pPr>
            <w:r w:rsidRPr="00F335CB">
              <w:rPr>
                <w:szCs w:val="18"/>
              </w:rPr>
              <w:t xml:space="preserve">0.2 </w:t>
            </w:r>
          </w:p>
        </w:tc>
      </w:tr>
      <w:tr w:rsidR="009571EB" w:rsidRPr="0015537B" w14:paraId="534E6918" w14:textId="77777777">
        <w:trPr>
          <w:trHeight w:val="322"/>
          <w:jc w:val="center"/>
        </w:trPr>
        <w:tc>
          <w:tcPr>
            <w:tcW w:w="1843" w:type="dxa"/>
            <w:vMerge/>
          </w:tcPr>
          <w:p w14:paraId="4B1F371E" w14:textId="77777777" w:rsidR="009571EB" w:rsidRDefault="009571EB">
            <w:pPr>
              <w:rPr>
                <w:szCs w:val="18"/>
              </w:rPr>
            </w:pPr>
          </w:p>
        </w:tc>
        <w:tc>
          <w:tcPr>
            <w:tcW w:w="1983" w:type="dxa"/>
          </w:tcPr>
          <w:p w14:paraId="079248F4" w14:textId="77777777" w:rsidR="009571EB" w:rsidRPr="00F335CB" w:rsidRDefault="009571EB">
            <w:pPr>
              <w:rPr>
                <w:szCs w:val="18"/>
              </w:rPr>
            </w:pPr>
            <w:r w:rsidRPr="00F335CB">
              <w:rPr>
                <w:szCs w:val="18"/>
              </w:rPr>
              <w:t>Digital service providers</w:t>
            </w:r>
          </w:p>
        </w:tc>
        <w:tc>
          <w:tcPr>
            <w:tcW w:w="3116" w:type="dxa"/>
          </w:tcPr>
          <w:p w14:paraId="12055DF5" w14:textId="77777777" w:rsidR="009571EB" w:rsidRPr="00F335CB" w:rsidRDefault="009571EB">
            <w:pPr>
              <w:pStyle w:val="TableBullet"/>
              <w:numPr>
                <w:ilvl w:val="0"/>
                <w:numId w:val="0"/>
              </w:numPr>
              <w:rPr>
                <w:szCs w:val="18"/>
              </w:rPr>
            </w:pPr>
            <w:r w:rsidRPr="00F335CB">
              <w:rPr>
                <w:szCs w:val="18"/>
              </w:rPr>
              <w:t>Understanding new regulations</w:t>
            </w:r>
          </w:p>
        </w:tc>
        <w:tc>
          <w:tcPr>
            <w:tcW w:w="1306" w:type="dxa"/>
          </w:tcPr>
          <w:p w14:paraId="72F24503" w14:textId="77777777" w:rsidR="009571EB" w:rsidRPr="00F335CB" w:rsidRDefault="009571EB">
            <w:pPr>
              <w:pStyle w:val="TableNumbering"/>
              <w:numPr>
                <w:ilvl w:val="0"/>
                <w:numId w:val="0"/>
              </w:numPr>
              <w:jc w:val="right"/>
              <w:rPr>
                <w:szCs w:val="18"/>
              </w:rPr>
            </w:pPr>
            <w:r w:rsidRPr="00F335CB">
              <w:rPr>
                <w:szCs w:val="18"/>
              </w:rPr>
              <w:t>0.1</w:t>
            </w:r>
          </w:p>
        </w:tc>
      </w:tr>
      <w:tr w:rsidR="009571EB" w:rsidRPr="0015537B" w14:paraId="769EEDB0" w14:textId="77777777">
        <w:trPr>
          <w:trHeight w:val="322"/>
          <w:jc w:val="center"/>
        </w:trPr>
        <w:tc>
          <w:tcPr>
            <w:tcW w:w="1843" w:type="dxa"/>
            <w:vMerge w:val="restart"/>
          </w:tcPr>
          <w:p w14:paraId="022291DE" w14:textId="77777777" w:rsidR="009571EB" w:rsidRPr="00DA7726" w:rsidRDefault="009571EB">
            <w:pPr>
              <w:rPr>
                <w:szCs w:val="18"/>
              </w:rPr>
            </w:pPr>
            <w:r>
              <w:rPr>
                <w:szCs w:val="18"/>
              </w:rPr>
              <w:t>5. Government expenditure</w:t>
            </w:r>
          </w:p>
        </w:tc>
        <w:tc>
          <w:tcPr>
            <w:tcW w:w="1983" w:type="dxa"/>
          </w:tcPr>
          <w:p w14:paraId="0342A474" w14:textId="77777777" w:rsidR="009571EB" w:rsidRPr="00DA7726" w:rsidRDefault="009571EB">
            <w:pPr>
              <w:rPr>
                <w:szCs w:val="18"/>
              </w:rPr>
            </w:pPr>
            <w:r>
              <w:rPr>
                <w:szCs w:val="18"/>
              </w:rPr>
              <w:t>ATO</w:t>
            </w:r>
          </w:p>
        </w:tc>
        <w:tc>
          <w:tcPr>
            <w:tcW w:w="3116" w:type="dxa"/>
          </w:tcPr>
          <w:p w14:paraId="2EABAF77" w14:textId="77777777" w:rsidR="009571EB" w:rsidRPr="00DA7726" w:rsidRDefault="009571EB">
            <w:pPr>
              <w:pStyle w:val="TableBullet"/>
              <w:numPr>
                <w:ilvl w:val="0"/>
                <w:numId w:val="0"/>
              </w:numPr>
              <w:rPr>
                <w:szCs w:val="18"/>
              </w:rPr>
            </w:pPr>
            <w:r>
              <w:rPr>
                <w:szCs w:val="18"/>
              </w:rPr>
              <w:t>Implementation costs</w:t>
            </w:r>
          </w:p>
        </w:tc>
        <w:tc>
          <w:tcPr>
            <w:tcW w:w="1306" w:type="dxa"/>
          </w:tcPr>
          <w:p w14:paraId="0B7730FC" w14:textId="77777777" w:rsidR="009571EB" w:rsidRDefault="009571EB">
            <w:pPr>
              <w:pStyle w:val="TableNumbering"/>
              <w:numPr>
                <w:ilvl w:val="0"/>
                <w:numId w:val="0"/>
              </w:numPr>
              <w:jc w:val="right"/>
              <w:rPr>
                <w:szCs w:val="18"/>
              </w:rPr>
            </w:pPr>
            <w:r>
              <w:rPr>
                <w:szCs w:val="18"/>
              </w:rPr>
              <w:t>200.0</w:t>
            </w:r>
          </w:p>
        </w:tc>
      </w:tr>
      <w:tr w:rsidR="009571EB" w:rsidRPr="0015537B" w14:paraId="1B0DD070" w14:textId="77777777">
        <w:trPr>
          <w:trHeight w:val="322"/>
          <w:jc w:val="center"/>
        </w:trPr>
        <w:tc>
          <w:tcPr>
            <w:tcW w:w="1843" w:type="dxa"/>
            <w:vMerge/>
          </w:tcPr>
          <w:p w14:paraId="4A117757" w14:textId="77777777" w:rsidR="009571EB" w:rsidRDefault="009571EB">
            <w:pPr>
              <w:rPr>
                <w:szCs w:val="18"/>
              </w:rPr>
            </w:pPr>
          </w:p>
        </w:tc>
        <w:tc>
          <w:tcPr>
            <w:tcW w:w="1983" w:type="dxa"/>
          </w:tcPr>
          <w:p w14:paraId="1B1C2EEE" w14:textId="77777777" w:rsidR="009571EB" w:rsidRDefault="009571EB">
            <w:pPr>
              <w:rPr>
                <w:szCs w:val="18"/>
              </w:rPr>
            </w:pPr>
            <w:r>
              <w:rPr>
                <w:szCs w:val="18"/>
              </w:rPr>
              <w:t>Treasury</w:t>
            </w:r>
          </w:p>
        </w:tc>
        <w:tc>
          <w:tcPr>
            <w:tcW w:w="3116" w:type="dxa"/>
          </w:tcPr>
          <w:p w14:paraId="234130A3" w14:textId="77777777" w:rsidR="009571EB" w:rsidRDefault="009571EB">
            <w:pPr>
              <w:pStyle w:val="TableBullet"/>
              <w:numPr>
                <w:ilvl w:val="0"/>
                <w:numId w:val="0"/>
              </w:numPr>
              <w:rPr>
                <w:szCs w:val="18"/>
              </w:rPr>
            </w:pPr>
            <w:r>
              <w:rPr>
                <w:szCs w:val="18"/>
              </w:rPr>
              <w:t>Implementation costs</w:t>
            </w:r>
          </w:p>
        </w:tc>
        <w:tc>
          <w:tcPr>
            <w:tcW w:w="1306" w:type="dxa"/>
          </w:tcPr>
          <w:p w14:paraId="16F39E55" w14:textId="77777777" w:rsidR="009571EB" w:rsidRDefault="009571EB">
            <w:pPr>
              <w:pStyle w:val="TableNumbering"/>
              <w:numPr>
                <w:ilvl w:val="0"/>
                <w:numId w:val="0"/>
              </w:numPr>
              <w:jc w:val="right"/>
              <w:rPr>
                <w:szCs w:val="18"/>
              </w:rPr>
            </w:pPr>
            <w:r>
              <w:rPr>
                <w:szCs w:val="18"/>
              </w:rPr>
              <w:t>1.6</w:t>
            </w:r>
          </w:p>
        </w:tc>
      </w:tr>
    </w:tbl>
    <w:p w14:paraId="7C021CF2" w14:textId="77777777" w:rsidR="009571EB" w:rsidRDefault="009571EB" w:rsidP="009571EB"/>
    <w:p w14:paraId="781D5BF5" w14:textId="77777777" w:rsidR="009571EB" w:rsidRPr="00AF3946" w:rsidRDefault="009571EB" w:rsidP="009571EB">
      <w:pPr>
        <w:pStyle w:val="Bullet"/>
        <w:numPr>
          <w:ilvl w:val="0"/>
          <w:numId w:val="0"/>
        </w:numPr>
        <w:rPr>
          <w:rFonts w:asciiTheme="majorHAnsi" w:hAnsiTheme="majorHAnsi" w:cstheme="majorHAnsi"/>
          <w:b/>
          <w:bCs/>
          <w:color w:val="5F5F5F" w:themeColor="text2"/>
        </w:rPr>
      </w:pPr>
      <w:r w:rsidRPr="00AF3946">
        <w:rPr>
          <w:rFonts w:asciiTheme="majorHAnsi" w:hAnsiTheme="majorHAnsi" w:cstheme="majorHAnsi"/>
          <w:b/>
          <w:bCs/>
          <w:color w:val="5F5F5F" w:themeColor="text2"/>
        </w:rPr>
        <w:t>Table 2. Revised Option 3 regulatory burden estimate (RBE) ($ million)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7"/>
        <w:gridCol w:w="1436"/>
        <w:gridCol w:w="1506"/>
        <w:gridCol w:w="2304"/>
        <w:gridCol w:w="1781"/>
      </w:tblGrid>
      <w:tr w:rsidR="009571EB" w:rsidRPr="00E57476" w14:paraId="3D2235A8" w14:textId="77777777">
        <w:trPr>
          <w:trHeight w:val="405"/>
        </w:trPr>
        <w:tc>
          <w:tcPr>
            <w:tcW w:w="10350" w:type="dxa"/>
            <w:gridSpan w:val="5"/>
            <w:tcBorders>
              <w:top w:val="single" w:sz="6" w:space="0" w:color="EBF0F9"/>
              <w:left w:val="single" w:sz="6" w:space="0" w:color="EBF0F9"/>
              <w:bottom w:val="single" w:sz="6" w:space="0" w:color="EBF0F9"/>
              <w:right w:val="single" w:sz="6" w:space="0" w:color="EBF0F9"/>
            </w:tcBorders>
            <w:shd w:val="clear" w:color="auto" w:fill="44546A"/>
            <w:hideMark/>
          </w:tcPr>
          <w:p w14:paraId="195DC383" w14:textId="77777777" w:rsidR="009571EB" w:rsidRPr="00E57476" w:rsidRDefault="009571EB">
            <w:pPr>
              <w:spacing w:after="0"/>
              <w:textAlignment w:val="baseline"/>
              <w:rPr>
                <w:rFonts w:ascii="Segoe UI" w:hAnsi="Segoe UI" w:cs="Segoe UI"/>
                <w:b/>
                <w:bCs/>
                <w:color w:val="FFFFFF"/>
                <w:sz w:val="18"/>
                <w:szCs w:val="18"/>
              </w:rPr>
            </w:pPr>
            <w:r w:rsidRPr="00E57476">
              <w:rPr>
                <w:rFonts w:cs="Calibri Light"/>
                <w:b/>
                <w:bCs/>
                <w:color w:val="FFFFFF"/>
                <w:sz w:val="18"/>
                <w:szCs w:val="18"/>
              </w:rPr>
              <w:t>Average annual regulatory costs over the next 10 years </w:t>
            </w:r>
          </w:p>
        </w:tc>
      </w:tr>
      <w:tr w:rsidR="009571EB" w:rsidRPr="00E57476" w14:paraId="632F198C" w14:textId="77777777">
        <w:trPr>
          <w:trHeight w:val="405"/>
        </w:trPr>
        <w:tc>
          <w:tcPr>
            <w:tcW w:w="2385" w:type="dxa"/>
            <w:tcBorders>
              <w:top w:val="single" w:sz="6" w:space="0" w:color="EBF0F9"/>
              <w:left w:val="single" w:sz="6" w:space="0" w:color="EBF0F9"/>
              <w:bottom w:val="single" w:sz="6" w:space="0" w:color="EBF0F9"/>
              <w:right w:val="single" w:sz="6" w:space="0" w:color="EBF0F9"/>
            </w:tcBorders>
            <w:shd w:val="clear" w:color="auto" w:fill="FFFFFF"/>
            <w:hideMark/>
          </w:tcPr>
          <w:p w14:paraId="6471494B" w14:textId="77777777" w:rsidR="009571EB" w:rsidRPr="00E57476" w:rsidRDefault="009571EB">
            <w:pPr>
              <w:spacing w:after="0"/>
              <w:textAlignment w:val="baseline"/>
              <w:rPr>
                <w:rFonts w:ascii="Segoe UI" w:hAnsi="Segoe UI" w:cs="Segoe UI"/>
                <w:color w:val="000000"/>
                <w:sz w:val="18"/>
                <w:szCs w:val="18"/>
              </w:rPr>
            </w:pPr>
            <w:r w:rsidRPr="00E57476">
              <w:rPr>
                <w:rFonts w:ascii="Calibri" w:hAnsi="Calibri" w:cs="Calibri"/>
                <w:b/>
                <w:bCs/>
                <w:color w:val="000000"/>
                <w:sz w:val="18"/>
                <w:szCs w:val="18"/>
              </w:rPr>
              <w:t>Change in costs </w:t>
            </w:r>
            <w:r w:rsidRPr="00E57476">
              <w:rPr>
                <w:rFonts w:ascii="Calibri" w:hAnsi="Calibri" w:cs="Calibri"/>
                <w:color w:val="000000"/>
                <w:sz w:val="18"/>
                <w:szCs w:val="18"/>
              </w:rPr>
              <w:t> </w:t>
            </w:r>
          </w:p>
        </w:tc>
        <w:tc>
          <w:tcPr>
            <w:tcW w:w="1575" w:type="dxa"/>
            <w:tcBorders>
              <w:top w:val="single" w:sz="6" w:space="0" w:color="EBF0F9"/>
              <w:left w:val="single" w:sz="6" w:space="0" w:color="EBF0F9"/>
              <w:bottom w:val="single" w:sz="6" w:space="0" w:color="EBF0F9"/>
              <w:right w:val="single" w:sz="6" w:space="0" w:color="EBF0F9"/>
            </w:tcBorders>
            <w:shd w:val="clear" w:color="auto" w:fill="FFFFFF"/>
            <w:hideMark/>
          </w:tcPr>
          <w:p w14:paraId="6915A539" w14:textId="77777777" w:rsidR="009571EB" w:rsidRPr="00E57476" w:rsidRDefault="009571EB">
            <w:pPr>
              <w:spacing w:after="0"/>
              <w:jc w:val="both"/>
              <w:textAlignment w:val="baseline"/>
              <w:rPr>
                <w:rFonts w:ascii="Segoe UI" w:hAnsi="Segoe UI" w:cs="Segoe UI"/>
                <w:color w:val="000000"/>
                <w:sz w:val="18"/>
                <w:szCs w:val="18"/>
              </w:rPr>
            </w:pPr>
            <w:r w:rsidRPr="00E57476">
              <w:rPr>
                <w:rFonts w:ascii="Calibri" w:hAnsi="Calibri" w:cs="Calibri"/>
                <w:b/>
                <w:bCs/>
                <w:color w:val="000000"/>
                <w:sz w:val="18"/>
                <w:szCs w:val="18"/>
              </w:rPr>
              <w:t>Individuals</w:t>
            </w:r>
            <w:r w:rsidRPr="00E57476">
              <w:rPr>
                <w:rFonts w:ascii="Calibri" w:hAnsi="Calibri" w:cs="Calibri"/>
                <w:color w:val="000000"/>
                <w:sz w:val="18"/>
                <w:szCs w:val="18"/>
              </w:rPr>
              <w:t> </w:t>
            </w:r>
          </w:p>
        </w:tc>
        <w:tc>
          <w:tcPr>
            <w:tcW w:w="1695" w:type="dxa"/>
            <w:tcBorders>
              <w:top w:val="single" w:sz="6" w:space="0" w:color="EBF0F9"/>
              <w:left w:val="single" w:sz="6" w:space="0" w:color="EBF0F9"/>
              <w:bottom w:val="single" w:sz="6" w:space="0" w:color="EBF0F9"/>
              <w:right w:val="single" w:sz="6" w:space="0" w:color="EBF0F9"/>
            </w:tcBorders>
            <w:shd w:val="clear" w:color="auto" w:fill="FFFFFF"/>
            <w:hideMark/>
          </w:tcPr>
          <w:p w14:paraId="7E7079E2" w14:textId="77777777" w:rsidR="009571EB" w:rsidRPr="00E57476" w:rsidRDefault="009571EB">
            <w:pPr>
              <w:spacing w:after="0"/>
              <w:ind w:left="270" w:hanging="270"/>
              <w:jc w:val="both"/>
              <w:textAlignment w:val="baseline"/>
              <w:rPr>
                <w:rFonts w:ascii="Segoe UI" w:hAnsi="Segoe UI" w:cs="Segoe UI"/>
                <w:color w:val="262626"/>
                <w:sz w:val="18"/>
                <w:szCs w:val="18"/>
              </w:rPr>
            </w:pPr>
            <w:r w:rsidRPr="00E57476">
              <w:rPr>
                <w:rFonts w:ascii="Calibri" w:hAnsi="Calibri" w:cs="Calibri"/>
                <w:b/>
                <w:bCs/>
                <w:color w:val="262626"/>
                <w:sz w:val="18"/>
                <w:szCs w:val="18"/>
              </w:rPr>
              <w:t>Business </w:t>
            </w:r>
            <w:r w:rsidRPr="00E57476">
              <w:rPr>
                <w:rFonts w:ascii="Calibri" w:hAnsi="Calibri" w:cs="Calibri"/>
                <w:color w:val="262626"/>
                <w:sz w:val="18"/>
                <w:szCs w:val="18"/>
              </w:rPr>
              <w:t> </w:t>
            </w:r>
          </w:p>
        </w:tc>
        <w:tc>
          <w:tcPr>
            <w:tcW w:w="2610" w:type="dxa"/>
            <w:tcBorders>
              <w:top w:val="single" w:sz="6" w:space="0" w:color="EBF0F9"/>
              <w:left w:val="single" w:sz="6" w:space="0" w:color="EBF0F9"/>
              <w:bottom w:val="single" w:sz="6" w:space="0" w:color="EBF0F9"/>
              <w:right w:val="single" w:sz="6" w:space="0" w:color="EBF0F9"/>
            </w:tcBorders>
            <w:shd w:val="clear" w:color="auto" w:fill="FFFFFF"/>
            <w:hideMark/>
          </w:tcPr>
          <w:p w14:paraId="3C00CECF" w14:textId="77777777" w:rsidR="009571EB" w:rsidRPr="00E57476" w:rsidRDefault="009571EB">
            <w:pPr>
              <w:spacing w:after="0"/>
              <w:jc w:val="both"/>
              <w:textAlignment w:val="baseline"/>
              <w:rPr>
                <w:rFonts w:ascii="Segoe UI" w:hAnsi="Segoe UI" w:cs="Segoe UI"/>
                <w:color w:val="000000"/>
                <w:sz w:val="18"/>
                <w:szCs w:val="18"/>
              </w:rPr>
            </w:pPr>
            <w:r w:rsidRPr="00E57476">
              <w:rPr>
                <w:rFonts w:ascii="Calibri" w:hAnsi="Calibri" w:cs="Calibri"/>
                <w:b/>
                <w:bCs/>
                <w:color w:val="000000"/>
                <w:sz w:val="18"/>
                <w:szCs w:val="18"/>
              </w:rPr>
              <w:t>Community organisations</w:t>
            </w:r>
            <w:r w:rsidRPr="00E57476">
              <w:rPr>
                <w:rFonts w:ascii="Calibri" w:hAnsi="Calibri" w:cs="Calibri"/>
                <w:color w:val="000000"/>
                <w:sz w:val="18"/>
                <w:szCs w:val="18"/>
              </w:rPr>
              <w:t> </w:t>
            </w:r>
          </w:p>
        </w:tc>
        <w:tc>
          <w:tcPr>
            <w:tcW w:w="2055" w:type="dxa"/>
            <w:tcBorders>
              <w:top w:val="single" w:sz="6" w:space="0" w:color="EBF0F9"/>
              <w:left w:val="single" w:sz="6" w:space="0" w:color="EBF0F9"/>
              <w:bottom w:val="single" w:sz="6" w:space="0" w:color="EBF0F9"/>
              <w:right w:val="single" w:sz="6" w:space="0" w:color="EBF0F9"/>
            </w:tcBorders>
            <w:shd w:val="clear" w:color="auto" w:fill="FFFFFF"/>
            <w:hideMark/>
          </w:tcPr>
          <w:p w14:paraId="060AB0D9" w14:textId="77777777" w:rsidR="009571EB" w:rsidRPr="00E57476" w:rsidRDefault="009571EB">
            <w:pPr>
              <w:spacing w:after="0"/>
              <w:jc w:val="both"/>
              <w:textAlignment w:val="baseline"/>
              <w:rPr>
                <w:rFonts w:ascii="Segoe UI" w:hAnsi="Segoe UI" w:cs="Segoe UI"/>
                <w:color w:val="000000"/>
                <w:sz w:val="18"/>
                <w:szCs w:val="18"/>
              </w:rPr>
            </w:pPr>
            <w:r w:rsidRPr="00E57476">
              <w:rPr>
                <w:rFonts w:ascii="Calibri" w:hAnsi="Calibri" w:cs="Calibri"/>
                <w:b/>
                <w:bCs/>
                <w:color w:val="000000"/>
                <w:sz w:val="18"/>
                <w:szCs w:val="18"/>
              </w:rPr>
              <w:t>Total change in cost</w:t>
            </w:r>
            <w:r w:rsidRPr="00E57476">
              <w:rPr>
                <w:rFonts w:ascii="Calibri" w:hAnsi="Calibri" w:cs="Calibri"/>
                <w:color w:val="000000"/>
                <w:sz w:val="18"/>
                <w:szCs w:val="18"/>
              </w:rPr>
              <w:t> </w:t>
            </w:r>
          </w:p>
        </w:tc>
      </w:tr>
      <w:tr w:rsidR="009571EB" w:rsidRPr="00E57476" w14:paraId="5A415508" w14:textId="77777777">
        <w:trPr>
          <w:trHeight w:val="405"/>
        </w:trPr>
        <w:tc>
          <w:tcPr>
            <w:tcW w:w="2385" w:type="dxa"/>
            <w:tcBorders>
              <w:top w:val="single" w:sz="6" w:space="0" w:color="EBF0F9"/>
              <w:left w:val="single" w:sz="6" w:space="0" w:color="EBF0F9"/>
              <w:bottom w:val="single" w:sz="12" w:space="0" w:color="44546A"/>
              <w:right w:val="single" w:sz="6" w:space="0" w:color="EBF0F9"/>
            </w:tcBorders>
            <w:shd w:val="clear" w:color="auto" w:fill="E6E6E6"/>
            <w:hideMark/>
          </w:tcPr>
          <w:p w14:paraId="20F3E9DA" w14:textId="77777777" w:rsidR="009571EB" w:rsidRPr="00E57476" w:rsidRDefault="009571EB">
            <w:pPr>
              <w:spacing w:after="0"/>
              <w:textAlignment w:val="baseline"/>
              <w:rPr>
                <w:rFonts w:ascii="Segoe UI" w:hAnsi="Segoe UI" w:cs="Segoe UI"/>
                <w:color w:val="000000"/>
                <w:sz w:val="18"/>
                <w:szCs w:val="18"/>
              </w:rPr>
            </w:pPr>
            <w:r w:rsidRPr="00E57476">
              <w:rPr>
                <w:rFonts w:ascii="Calibri" w:hAnsi="Calibri" w:cs="Calibri"/>
                <w:color w:val="000000"/>
                <w:sz w:val="18"/>
                <w:szCs w:val="18"/>
              </w:rPr>
              <w:t>Total, by sector </w:t>
            </w:r>
          </w:p>
        </w:tc>
        <w:tc>
          <w:tcPr>
            <w:tcW w:w="1575" w:type="dxa"/>
            <w:tcBorders>
              <w:top w:val="single" w:sz="6" w:space="0" w:color="EBF0F9"/>
              <w:left w:val="single" w:sz="6" w:space="0" w:color="EBF0F9"/>
              <w:bottom w:val="single" w:sz="12" w:space="0" w:color="44546A"/>
              <w:right w:val="single" w:sz="6" w:space="0" w:color="EBF0F9"/>
            </w:tcBorders>
            <w:shd w:val="clear" w:color="auto" w:fill="E6E6E6"/>
            <w:hideMark/>
          </w:tcPr>
          <w:p w14:paraId="485F0971" w14:textId="77777777" w:rsidR="009571EB" w:rsidRPr="00E57476" w:rsidRDefault="009571EB">
            <w:pPr>
              <w:spacing w:after="0"/>
              <w:jc w:val="right"/>
              <w:textAlignment w:val="baseline"/>
              <w:rPr>
                <w:rFonts w:ascii="Segoe UI" w:hAnsi="Segoe UI" w:cs="Segoe UI"/>
                <w:color w:val="000000"/>
                <w:sz w:val="18"/>
                <w:szCs w:val="18"/>
              </w:rPr>
            </w:pPr>
            <w:r w:rsidRPr="00E57476">
              <w:rPr>
                <w:rFonts w:ascii="Calibri" w:hAnsi="Calibri" w:cs="Calibri"/>
                <w:color w:val="262626"/>
                <w:sz w:val="18"/>
                <w:szCs w:val="18"/>
              </w:rPr>
              <w:t>(0.5) </w:t>
            </w:r>
          </w:p>
        </w:tc>
        <w:tc>
          <w:tcPr>
            <w:tcW w:w="1695" w:type="dxa"/>
            <w:tcBorders>
              <w:top w:val="single" w:sz="6" w:space="0" w:color="EBF0F9"/>
              <w:left w:val="single" w:sz="6" w:space="0" w:color="EBF0F9"/>
              <w:bottom w:val="single" w:sz="12" w:space="0" w:color="44546A"/>
              <w:right w:val="single" w:sz="6" w:space="0" w:color="EBF0F9"/>
            </w:tcBorders>
            <w:shd w:val="clear" w:color="auto" w:fill="E6E6E6"/>
            <w:hideMark/>
          </w:tcPr>
          <w:p w14:paraId="00FA0534" w14:textId="77777777" w:rsidR="009571EB" w:rsidRPr="00E57476" w:rsidRDefault="009571EB">
            <w:pPr>
              <w:spacing w:after="0"/>
              <w:ind w:left="270"/>
              <w:jc w:val="right"/>
              <w:textAlignment w:val="baseline"/>
              <w:rPr>
                <w:rFonts w:ascii="Segoe UI" w:hAnsi="Segoe UI" w:cs="Segoe UI"/>
                <w:color w:val="262626"/>
                <w:sz w:val="18"/>
                <w:szCs w:val="18"/>
              </w:rPr>
            </w:pPr>
            <w:r w:rsidRPr="00E57476">
              <w:rPr>
                <w:rFonts w:ascii="Calibri" w:hAnsi="Calibri" w:cs="Calibri"/>
                <w:color w:val="262626"/>
                <w:sz w:val="18"/>
                <w:szCs w:val="18"/>
              </w:rPr>
              <w:t>137.7 </w:t>
            </w:r>
          </w:p>
        </w:tc>
        <w:tc>
          <w:tcPr>
            <w:tcW w:w="2610" w:type="dxa"/>
            <w:tcBorders>
              <w:top w:val="single" w:sz="6" w:space="0" w:color="EBF0F9"/>
              <w:left w:val="single" w:sz="6" w:space="0" w:color="EBF0F9"/>
              <w:bottom w:val="single" w:sz="12" w:space="0" w:color="44546A"/>
              <w:right w:val="single" w:sz="6" w:space="0" w:color="EBF0F9"/>
            </w:tcBorders>
            <w:shd w:val="clear" w:color="auto" w:fill="E6E6E6"/>
            <w:hideMark/>
          </w:tcPr>
          <w:p w14:paraId="12A64481" w14:textId="77777777" w:rsidR="009571EB" w:rsidRPr="00E57476" w:rsidRDefault="009571EB">
            <w:pPr>
              <w:spacing w:after="0"/>
              <w:ind w:left="270" w:hanging="270"/>
              <w:jc w:val="right"/>
              <w:textAlignment w:val="baseline"/>
              <w:rPr>
                <w:rFonts w:ascii="Segoe UI" w:hAnsi="Segoe UI" w:cs="Segoe UI"/>
                <w:color w:val="000000"/>
                <w:sz w:val="18"/>
                <w:szCs w:val="18"/>
              </w:rPr>
            </w:pPr>
            <w:r w:rsidRPr="00E57476">
              <w:rPr>
                <w:rFonts w:ascii="Calibri" w:hAnsi="Calibri" w:cs="Calibri"/>
                <w:color w:val="000000"/>
                <w:sz w:val="18"/>
                <w:szCs w:val="18"/>
              </w:rPr>
              <w:t>- </w:t>
            </w:r>
          </w:p>
        </w:tc>
        <w:tc>
          <w:tcPr>
            <w:tcW w:w="2055" w:type="dxa"/>
            <w:tcBorders>
              <w:top w:val="single" w:sz="6" w:space="0" w:color="EBF0F9"/>
              <w:left w:val="single" w:sz="6" w:space="0" w:color="EBF0F9"/>
              <w:bottom w:val="single" w:sz="12" w:space="0" w:color="44546A"/>
              <w:right w:val="single" w:sz="6" w:space="0" w:color="EBF0F9"/>
            </w:tcBorders>
            <w:shd w:val="clear" w:color="auto" w:fill="E6E6E6"/>
            <w:hideMark/>
          </w:tcPr>
          <w:p w14:paraId="0F9ECD94" w14:textId="77777777" w:rsidR="009571EB" w:rsidRPr="00E57476" w:rsidRDefault="009571EB">
            <w:pPr>
              <w:spacing w:after="0"/>
              <w:ind w:left="270" w:hanging="270"/>
              <w:jc w:val="right"/>
              <w:textAlignment w:val="baseline"/>
              <w:rPr>
                <w:rFonts w:ascii="Segoe UI" w:hAnsi="Segoe UI" w:cs="Segoe UI"/>
                <w:color w:val="000000"/>
                <w:sz w:val="18"/>
                <w:szCs w:val="18"/>
              </w:rPr>
            </w:pPr>
            <w:r w:rsidRPr="00E57476">
              <w:rPr>
                <w:rFonts w:ascii="Calibri" w:hAnsi="Calibri" w:cs="Calibri"/>
                <w:color w:val="000000"/>
                <w:sz w:val="18"/>
                <w:szCs w:val="18"/>
              </w:rPr>
              <w:t>137.2 </w:t>
            </w:r>
          </w:p>
        </w:tc>
      </w:tr>
    </w:tbl>
    <w:p w14:paraId="17680730" w14:textId="77777777" w:rsidR="009571EB" w:rsidRDefault="009571EB" w:rsidP="009571EB"/>
    <w:p w14:paraId="0CE86E31" w14:textId="30D084A8" w:rsidR="009571EB" w:rsidRDefault="009571EB" w:rsidP="009571EB">
      <w:r w:rsidDel="0099786C">
        <w:t xml:space="preserve">Overall, as recommended in the USG Impact Analysis, both Option 2 and 3 still provide the greatest net benefit, with the ability to automatically match SG contributions data alongside more frequent payment of superannuation will have a significant impact on addressing the underlying drivers of unpaid SG. Retiring the SBS Clearing House in the long run will assist employers to meet their superannuation obligation more easily, by staying within their natural business systems when paying both wages and superannuation. </w:t>
      </w:r>
    </w:p>
    <w:p w14:paraId="4A7DECEF" w14:textId="77777777" w:rsidR="009571EB" w:rsidRDefault="009571EB">
      <w:pPr>
        <w:spacing w:before="0" w:after="200" w:line="276" w:lineRule="auto"/>
      </w:pPr>
      <w:r>
        <w:br w:type="page"/>
      </w:r>
    </w:p>
    <w:p w14:paraId="4BD818A7" w14:textId="77777777" w:rsidR="009571EB" w:rsidRDefault="009571EB" w:rsidP="009571EB">
      <w:pPr>
        <w:rPr>
          <w:rFonts w:asciiTheme="majorHAnsi" w:hAnsiTheme="majorHAnsi"/>
          <w:b/>
          <w:iCs/>
          <w:color w:val="5F5F5F" w:themeColor="text2"/>
          <w:szCs w:val="18"/>
        </w:rPr>
      </w:pPr>
    </w:p>
    <w:p w14:paraId="3C36AA1E" w14:textId="1864771E" w:rsidR="009571EB" w:rsidRDefault="009571EB" w:rsidP="009571EB">
      <w:pPr>
        <w:pStyle w:val="Caption"/>
      </w:pPr>
      <w:r>
        <w:t>Table 3</w:t>
      </w:r>
      <w:r w:rsidR="00F9570A">
        <w:t xml:space="preserve">. </w:t>
      </w:r>
      <w:r>
        <w:t>Summary of Regulatory Costs ($ million)</w:t>
      </w:r>
    </w:p>
    <w:tbl>
      <w:tblPr>
        <w:tblStyle w:val="PMCTableStyle2"/>
        <w:tblW w:w="0" w:type="auto"/>
        <w:jc w:val="center"/>
        <w:tblInd w:w="0" w:type="dxa"/>
        <w:tblLook w:val="0660" w:firstRow="1" w:lastRow="1" w:firstColumn="0" w:lastColumn="0" w:noHBand="1" w:noVBand="1"/>
      </w:tblPr>
      <w:tblGrid>
        <w:gridCol w:w="3851"/>
        <w:gridCol w:w="1823"/>
      </w:tblGrid>
      <w:tr w:rsidR="009571EB" w14:paraId="7C9765C9" w14:textId="77777777">
        <w:trPr>
          <w:cnfStyle w:val="100000000000" w:firstRow="1" w:lastRow="0" w:firstColumn="0" w:lastColumn="0" w:oddVBand="0" w:evenVBand="0" w:oddHBand="0" w:evenHBand="0" w:firstRowFirstColumn="0" w:firstRowLastColumn="0" w:lastRowFirstColumn="0" w:lastRowLastColumn="0"/>
          <w:trHeight w:val="137"/>
          <w:jc w:val="center"/>
        </w:trPr>
        <w:tc>
          <w:tcPr>
            <w:tcW w:w="0" w:type="auto"/>
            <w:tcBorders>
              <w:top w:val="single" w:sz="4" w:space="0" w:color="E5E9F0" w:themeColor="accent1" w:themeTint="1A"/>
              <w:left w:val="single" w:sz="4" w:space="0" w:color="E5E9F0" w:themeColor="accent1" w:themeTint="1A"/>
              <w:bottom w:val="single" w:sz="4" w:space="0" w:color="E5E9F0" w:themeColor="accent1" w:themeTint="1A"/>
              <w:right w:val="single" w:sz="4" w:space="0" w:color="E5E9F0" w:themeColor="accent1" w:themeTint="1A"/>
            </w:tcBorders>
            <w:vAlign w:val="bottom"/>
            <w:hideMark/>
          </w:tcPr>
          <w:p w14:paraId="18290682" w14:textId="77777777" w:rsidR="009571EB" w:rsidRDefault="009571EB">
            <w:pPr>
              <w:pStyle w:val="TableHeading"/>
              <w:spacing w:after="60"/>
            </w:pPr>
            <w:r>
              <w:t>Options</w:t>
            </w:r>
          </w:p>
        </w:tc>
        <w:tc>
          <w:tcPr>
            <w:tcW w:w="0" w:type="auto"/>
            <w:tcBorders>
              <w:top w:val="single" w:sz="4" w:space="0" w:color="E5E9F0" w:themeColor="accent1" w:themeTint="1A"/>
              <w:left w:val="single" w:sz="4" w:space="0" w:color="E5E9F0" w:themeColor="accent1" w:themeTint="1A"/>
              <w:bottom w:val="single" w:sz="4" w:space="0" w:color="E5E9F0" w:themeColor="accent1" w:themeTint="1A"/>
              <w:right w:val="single" w:sz="4" w:space="0" w:color="E5E9F0" w:themeColor="accent1" w:themeTint="1A"/>
            </w:tcBorders>
            <w:vAlign w:val="bottom"/>
            <w:hideMark/>
          </w:tcPr>
          <w:p w14:paraId="78EB793F" w14:textId="77777777" w:rsidR="009571EB" w:rsidRDefault="009571EB">
            <w:pPr>
              <w:pStyle w:val="TableHeading"/>
              <w:spacing w:after="60"/>
            </w:pPr>
            <w:r>
              <w:rPr>
                <w:rFonts w:ascii="Calibri" w:eastAsia="Times New Roman" w:hAnsi="Calibri" w:cs="Calibri"/>
                <w:szCs w:val="22"/>
                <w:lang w:eastAsia="en-AU"/>
              </w:rPr>
              <w:t>Regulatory Costs</w:t>
            </w:r>
          </w:p>
        </w:tc>
      </w:tr>
      <w:tr w:rsidR="009571EB" w14:paraId="26F13B00" w14:textId="77777777">
        <w:trPr>
          <w:trHeight w:val="137"/>
          <w:jc w:val="center"/>
        </w:trPr>
        <w:tc>
          <w:tcPr>
            <w:tcW w:w="0" w:type="auto"/>
            <w:tcBorders>
              <w:top w:val="single" w:sz="4" w:space="0" w:color="E5E9F0" w:themeColor="accent1" w:themeTint="1A"/>
              <w:left w:val="single" w:sz="4" w:space="0" w:color="E5E9F0" w:themeColor="accent1" w:themeTint="1A"/>
              <w:bottom w:val="single" w:sz="4" w:space="0" w:color="E5E9F0" w:themeColor="accent1" w:themeTint="1A"/>
              <w:right w:val="single" w:sz="4" w:space="0" w:color="E5E9F0" w:themeColor="accent1" w:themeTint="1A"/>
            </w:tcBorders>
            <w:vAlign w:val="center"/>
            <w:hideMark/>
          </w:tcPr>
          <w:p w14:paraId="5728D29E" w14:textId="77777777" w:rsidR="009571EB" w:rsidRDefault="009571EB">
            <w:pPr>
              <w:pStyle w:val="TableBody"/>
              <w:rPr>
                <w:color w:val="auto"/>
              </w:rPr>
            </w:pPr>
            <w:r>
              <w:rPr>
                <w:color w:val="auto"/>
              </w:rPr>
              <w:t>Option 2 – Investment in ATO Data Matching</w:t>
            </w:r>
          </w:p>
        </w:tc>
        <w:tc>
          <w:tcPr>
            <w:tcW w:w="0" w:type="auto"/>
            <w:tcBorders>
              <w:top w:val="single" w:sz="4" w:space="0" w:color="E5E9F0" w:themeColor="accent1" w:themeTint="1A"/>
              <w:left w:val="single" w:sz="4" w:space="0" w:color="E5E9F0" w:themeColor="accent1" w:themeTint="1A"/>
              <w:bottom w:val="single" w:sz="4" w:space="0" w:color="E5E9F0" w:themeColor="accent1" w:themeTint="1A"/>
              <w:right w:val="single" w:sz="4" w:space="0" w:color="E5E9F0" w:themeColor="accent1" w:themeTint="1A"/>
            </w:tcBorders>
            <w:vAlign w:val="center"/>
            <w:hideMark/>
          </w:tcPr>
          <w:p w14:paraId="5424E851" w14:textId="77777777" w:rsidR="009571EB" w:rsidRDefault="009571EB">
            <w:pPr>
              <w:pStyle w:val="TableBody"/>
              <w:jc w:val="right"/>
            </w:pPr>
            <w:r>
              <w:t>(0.4)</w:t>
            </w:r>
          </w:p>
        </w:tc>
      </w:tr>
      <w:tr w:rsidR="009571EB" w14:paraId="1A35CA27" w14:textId="77777777">
        <w:trPr>
          <w:trHeight w:val="137"/>
          <w:jc w:val="center"/>
        </w:trPr>
        <w:tc>
          <w:tcPr>
            <w:tcW w:w="0" w:type="auto"/>
            <w:tcBorders>
              <w:top w:val="single" w:sz="4" w:space="0" w:color="E5E9F0" w:themeColor="accent1" w:themeTint="1A"/>
              <w:left w:val="single" w:sz="4" w:space="0" w:color="E5E9F0" w:themeColor="accent1" w:themeTint="1A"/>
              <w:bottom w:val="single" w:sz="4" w:space="0" w:color="E5E9F0" w:themeColor="accent1" w:themeTint="1A"/>
              <w:right w:val="single" w:sz="4" w:space="0" w:color="E5E9F0" w:themeColor="accent1" w:themeTint="1A"/>
            </w:tcBorders>
            <w:vAlign w:val="center"/>
            <w:hideMark/>
          </w:tcPr>
          <w:p w14:paraId="0F714519" w14:textId="77777777" w:rsidR="009571EB" w:rsidRDefault="009571EB">
            <w:pPr>
              <w:pStyle w:val="TableBody"/>
              <w:rPr>
                <w:color w:val="auto"/>
              </w:rPr>
            </w:pPr>
            <w:r>
              <w:rPr>
                <w:color w:val="auto"/>
              </w:rPr>
              <w:t>Option 3 – SG on Payday</w:t>
            </w:r>
          </w:p>
        </w:tc>
        <w:tc>
          <w:tcPr>
            <w:tcW w:w="0" w:type="auto"/>
            <w:tcBorders>
              <w:top w:val="single" w:sz="4" w:space="0" w:color="E5E9F0" w:themeColor="accent1" w:themeTint="1A"/>
              <w:left w:val="single" w:sz="4" w:space="0" w:color="E5E9F0" w:themeColor="accent1" w:themeTint="1A"/>
              <w:bottom w:val="single" w:sz="4" w:space="0" w:color="E5E9F0" w:themeColor="accent1" w:themeTint="1A"/>
              <w:right w:val="single" w:sz="4" w:space="0" w:color="E5E9F0" w:themeColor="accent1" w:themeTint="1A"/>
            </w:tcBorders>
            <w:vAlign w:val="center"/>
            <w:hideMark/>
          </w:tcPr>
          <w:p w14:paraId="0774783F" w14:textId="77777777" w:rsidR="009571EB" w:rsidRDefault="009571EB">
            <w:pPr>
              <w:pStyle w:val="TableBody"/>
              <w:jc w:val="right"/>
            </w:pPr>
            <w:r>
              <w:t>137.2</w:t>
            </w:r>
          </w:p>
        </w:tc>
      </w:tr>
      <w:tr w:rsidR="009571EB" w14:paraId="4FE336BA" w14:textId="77777777">
        <w:trPr>
          <w:cnfStyle w:val="010000000000" w:firstRow="0" w:lastRow="1" w:firstColumn="0" w:lastColumn="0" w:oddVBand="0" w:evenVBand="0" w:oddHBand="0" w:evenHBand="0" w:firstRowFirstColumn="0" w:firstRowLastColumn="0" w:lastRowFirstColumn="0" w:lastRowLastColumn="0"/>
          <w:trHeight w:val="137"/>
          <w:jc w:val="center"/>
        </w:trPr>
        <w:tc>
          <w:tcPr>
            <w:tcW w:w="0" w:type="auto"/>
            <w:tcBorders>
              <w:top w:val="single" w:sz="4" w:space="0" w:color="E5E9F0" w:themeColor="accent1" w:themeTint="1A"/>
              <w:left w:val="single" w:sz="4" w:space="0" w:color="E5E9F0" w:themeColor="accent1" w:themeTint="1A"/>
              <w:bottom w:val="single" w:sz="12" w:space="0" w:color="EEEEEE" w:themeColor="text2" w:themeTint="1A"/>
              <w:right w:val="single" w:sz="4" w:space="0" w:color="E5E9F0" w:themeColor="accent1" w:themeTint="1A"/>
            </w:tcBorders>
            <w:vAlign w:val="center"/>
            <w:hideMark/>
          </w:tcPr>
          <w:p w14:paraId="1C98F5AA" w14:textId="77777777" w:rsidR="009571EB" w:rsidRDefault="009571EB">
            <w:pPr>
              <w:pStyle w:val="TableBody"/>
              <w:rPr>
                <w:b/>
                <w:color w:val="auto"/>
              </w:rPr>
            </w:pPr>
            <w:r>
              <w:rPr>
                <w:rFonts w:ascii="Calibri" w:eastAsia="Times New Roman" w:hAnsi="Calibri" w:cs="Calibri"/>
                <w:b/>
                <w:color w:val="000000"/>
                <w:szCs w:val="22"/>
                <w:lang w:eastAsia="en-AU"/>
              </w:rPr>
              <w:t>Total</w:t>
            </w:r>
          </w:p>
        </w:tc>
        <w:tc>
          <w:tcPr>
            <w:tcW w:w="0" w:type="auto"/>
            <w:tcBorders>
              <w:top w:val="single" w:sz="4" w:space="0" w:color="E5E9F0" w:themeColor="accent1" w:themeTint="1A"/>
              <w:left w:val="single" w:sz="4" w:space="0" w:color="E5E9F0" w:themeColor="accent1" w:themeTint="1A"/>
              <w:bottom w:val="single" w:sz="12" w:space="0" w:color="EEEEEE" w:themeColor="text2" w:themeTint="1A"/>
              <w:right w:val="single" w:sz="4" w:space="0" w:color="E5E9F0" w:themeColor="accent1" w:themeTint="1A"/>
            </w:tcBorders>
            <w:vAlign w:val="center"/>
            <w:hideMark/>
          </w:tcPr>
          <w:p w14:paraId="331536C7" w14:textId="77777777" w:rsidR="009571EB" w:rsidRDefault="009571EB">
            <w:pPr>
              <w:pStyle w:val="TableBody"/>
              <w:jc w:val="right"/>
              <w:rPr>
                <w:b/>
              </w:rPr>
            </w:pPr>
            <w:r>
              <w:rPr>
                <w:b/>
              </w:rPr>
              <w:t>136.</w:t>
            </w:r>
            <w:r>
              <w:rPr>
                <w:b/>
                <w:bCs/>
              </w:rPr>
              <w:t>8</w:t>
            </w:r>
          </w:p>
        </w:tc>
      </w:tr>
    </w:tbl>
    <w:p w14:paraId="1F96A0A8" w14:textId="0AEE4E45" w:rsidR="009571EB" w:rsidRDefault="009571EB" w:rsidP="009571EB">
      <w:pPr>
        <w:pStyle w:val="Caption"/>
      </w:pPr>
      <w:r w:rsidRPr="002B3305">
        <w:t>Table 4</w:t>
      </w:r>
      <w:r w:rsidR="00F9570A">
        <w:t xml:space="preserve">. </w:t>
      </w:r>
      <w:r w:rsidRPr="002B3305">
        <w:t>DSP subscription costs</w:t>
      </w:r>
      <w:r w:rsidRPr="0049519E">
        <w:rPr>
          <w:rStyle w:val="FootnoteReference"/>
          <w:vertAlign w:val="superscript"/>
        </w:rPr>
        <w:footnoteReference w:id="2"/>
      </w:r>
    </w:p>
    <w:tbl>
      <w:tblPr>
        <w:tblStyle w:val="PMCTableStyle2"/>
        <w:tblW w:w="5000" w:type="pct"/>
        <w:tblInd w:w="0" w:type="dxa"/>
        <w:tblLook w:val="04A0" w:firstRow="1" w:lastRow="0" w:firstColumn="1" w:lastColumn="0" w:noHBand="0" w:noVBand="1"/>
      </w:tblPr>
      <w:tblGrid>
        <w:gridCol w:w="3020"/>
        <w:gridCol w:w="3021"/>
        <w:gridCol w:w="3019"/>
      </w:tblGrid>
      <w:tr w:rsidR="009571EB" w14:paraId="70DDFD37" w14:textId="77777777" w:rsidTr="00BB7A53">
        <w:trPr>
          <w:cnfStyle w:val="100000000000" w:firstRow="1" w:lastRow="0" w:firstColumn="0" w:lastColumn="0" w:oddVBand="0" w:evenVBand="0" w:oddHBand="0" w:evenHBand="0" w:firstRowFirstColumn="0" w:firstRowLastColumn="0" w:lastRowFirstColumn="0" w:lastRowLastColumn="0"/>
        </w:trPr>
        <w:tc>
          <w:tcPr>
            <w:tcW w:w="1667" w:type="pct"/>
          </w:tcPr>
          <w:p w14:paraId="709E060D" w14:textId="77777777" w:rsidR="009571EB" w:rsidRPr="008B3553" w:rsidRDefault="009571EB">
            <w:pPr>
              <w:pStyle w:val="TableHeading"/>
              <w:spacing w:after="60"/>
            </w:pPr>
            <w:bookmarkStart w:id="3" w:name="_Hlk162536557"/>
            <w:r w:rsidRPr="008B3553">
              <w:t>DSP</w:t>
            </w:r>
          </w:p>
        </w:tc>
        <w:tc>
          <w:tcPr>
            <w:tcW w:w="1667" w:type="pct"/>
          </w:tcPr>
          <w:p w14:paraId="795B0353" w14:textId="77777777" w:rsidR="009571EB" w:rsidRPr="008B3553" w:rsidRDefault="009571EB">
            <w:pPr>
              <w:pStyle w:val="TableHeading"/>
              <w:spacing w:after="60"/>
            </w:pPr>
            <w:r w:rsidRPr="008B3553">
              <w:t xml:space="preserve">Product </w:t>
            </w:r>
          </w:p>
        </w:tc>
        <w:tc>
          <w:tcPr>
            <w:tcW w:w="1666" w:type="pct"/>
          </w:tcPr>
          <w:p w14:paraId="339B88DB" w14:textId="77777777" w:rsidR="009571EB" w:rsidRPr="008B3553" w:rsidRDefault="009571EB">
            <w:pPr>
              <w:pStyle w:val="TableHeading"/>
              <w:spacing w:after="60"/>
            </w:pPr>
            <w:r w:rsidRPr="004C3919">
              <w:rPr>
                <w:rFonts w:ascii="Calibri" w:eastAsia="Times New Roman" w:hAnsi="Calibri" w:cs="Calibri"/>
                <w:szCs w:val="22"/>
                <w:lang w:eastAsia="en-AU"/>
              </w:rPr>
              <w:t>Subscription Pricing</w:t>
            </w:r>
            <w:r>
              <w:rPr>
                <w:rFonts w:ascii="Calibri" w:eastAsia="Times New Roman" w:hAnsi="Calibri" w:cs="Calibri"/>
                <w:szCs w:val="22"/>
                <w:lang w:eastAsia="en-AU"/>
              </w:rPr>
              <w:t xml:space="preserve"> (monthly)</w:t>
            </w:r>
          </w:p>
        </w:tc>
      </w:tr>
      <w:bookmarkEnd w:id="3"/>
      <w:tr w:rsidR="009571EB" w14:paraId="7CF8649A" w14:textId="77777777" w:rsidTr="00BB7A53">
        <w:tc>
          <w:tcPr>
            <w:tcW w:w="1667" w:type="pct"/>
          </w:tcPr>
          <w:p w14:paraId="0F482803" w14:textId="77777777" w:rsidR="009571EB" w:rsidRPr="007146D7" w:rsidRDefault="009571EB">
            <w:pPr>
              <w:pStyle w:val="BodyText"/>
            </w:pPr>
            <w:r w:rsidRPr="007146D7">
              <w:t>Xero</w:t>
            </w:r>
          </w:p>
        </w:tc>
        <w:tc>
          <w:tcPr>
            <w:tcW w:w="1667" w:type="pct"/>
          </w:tcPr>
          <w:p w14:paraId="5E33A679" w14:textId="77777777" w:rsidR="009571EB" w:rsidRPr="004C3919" w:rsidRDefault="009571EB">
            <w:pPr>
              <w:pStyle w:val="Caption"/>
              <w:ind w:left="0" w:firstLine="0"/>
              <w:rPr>
                <w:rFonts w:asciiTheme="minorHAnsi" w:hAnsiTheme="minorHAnsi" w:cstheme="minorHAnsi"/>
                <w:b w:val="0"/>
              </w:rPr>
            </w:pPr>
            <w:r w:rsidRPr="004C3919">
              <w:rPr>
                <w:rFonts w:asciiTheme="minorHAnsi" w:hAnsiTheme="minorHAnsi"/>
                <w:b w:val="0"/>
                <w:iCs w:val="0"/>
                <w:color w:val="auto"/>
                <w:sz w:val="18"/>
                <w:szCs w:val="20"/>
              </w:rPr>
              <w:t xml:space="preserve">Xero </w:t>
            </w:r>
            <w:r w:rsidRPr="007146D7">
              <w:rPr>
                <w:rFonts w:asciiTheme="minorHAnsi" w:hAnsiTheme="minorHAnsi"/>
                <w:b w:val="0"/>
                <w:iCs w:val="0"/>
                <w:color w:val="auto"/>
                <w:sz w:val="18"/>
                <w:szCs w:val="20"/>
              </w:rPr>
              <w:t>Payroll STP 2</w:t>
            </w:r>
          </w:p>
        </w:tc>
        <w:tc>
          <w:tcPr>
            <w:tcW w:w="1666" w:type="pct"/>
          </w:tcPr>
          <w:p w14:paraId="7E865050" w14:textId="77777777" w:rsidR="009571EB" w:rsidRPr="00B81C54" w:rsidRDefault="009571EB">
            <w:r w:rsidRPr="00B81C54">
              <w:t>Premium and Ultimate include automated super (details on clearing house not available)</w:t>
            </w:r>
          </w:p>
          <w:p w14:paraId="01C3FD89" w14:textId="77777777" w:rsidR="009571EB" w:rsidRPr="00B81C54" w:rsidRDefault="009571EB">
            <w:r w:rsidRPr="00B81C54">
              <w:t>Users can choose their own 3rd party clearing house.</w:t>
            </w:r>
          </w:p>
          <w:p w14:paraId="0F5EA0C4" w14:textId="77777777" w:rsidR="00B50D43" w:rsidRDefault="009571EB" w:rsidP="00B50D43">
            <w:pPr>
              <w:pStyle w:val="Bullet"/>
            </w:pPr>
            <w:r w:rsidRPr="004C3919">
              <w:t>Starter $32</w:t>
            </w:r>
            <w:r w:rsidR="00B50D43">
              <w:t xml:space="preserve"> per month</w:t>
            </w:r>
            <w:r w:rsidRPr="004C3919">
              <w:t xml:space="preserve"> (super not integrated)</w:t>
            </w:r>
          </w:p>
          <w:p w14:paraId="6F066018" w14:textId="77777777" w:rsidR="00B50D43" w:rsidRDefault="009571EB">
            <w:pPr>
              <w:pStyle w:val="Bullet"/>
            </w:pPr>
            <w:r w:rsidRPr="00B50D43">
              <w:t>Standard $65</w:t>
            </w:r>
            <w:r w:rsidR="00B50D43" w:rsidRPr="00B50D43">
              <w:t xml:space="preserve"> per month</w:t>
            </w:r>
            <w:r w:rsidR="005E64A4" w:rsidRPr="00B50D43">
              <w:t xml:space="preserve"> </w:t>
            </w:r>
            <w:r w:rsidRPr="00B50D43">
              <w:t>(super not integrated)</w:t>
            </w:r>
          </w:p>
          <w:p w14:paraId="6217543D" w14:textId="70830FE9" w:rsidR="009571EB" w:rsidRPr="00B50D43" w:rsidRDefault="009571EB">
            <w:pPr>
              <w:pStyle w:val="Bullet"/>
            </w:pPr>
            <w:r w:rsidRPr="00B50D43">
              <w:t>Premium 5 $85</w:t>
            </w:r>
            <w:r w:rsidR="00B50D43" w:rsidRPr="00B50D43">
              <w:t xml:space="preserve"> per month</w:t>
            </w:r>
            <w:r w:rsidRPr="00B50D43">
              <w:t xml:space="preserve"> (super integrated)</w:t>
            </w:r>
          </w:p>
          <w:p w14:paraId="34079C3A" w14:textId="10E50543" w:rsidR="009571EB" w:rsidRPr="004C3919" w:rsidRDefault="009571EB" w:rsidP="00B50D43">
            <w:pPr>
              <w:pStyle w:val="Bullet"/>
            </w:pPr>
            <w:r w:rsidRPr="004C3919">
              <w:t>Ultimate 10 $115</w:t>
            </w:r>
            <w:r w:rsidR="00B50D43">
              <w:t xml:space="preserve"> per month </w:t>
            </w:r>
            <w:r w:rsidRPr="004C3919">
              <w:t>(super</w:t>
            </w:r>
            <w:r w:rsidR="00B50D43">
              <w:t xml:space="preserve"> </w:t>
            </w:r>
            <w:r w:rsidRPr="004C3919">
              <w:t>integrated)</w:t>
            </w:r>
          </w:p>
          <w:p w14:paraId="23011E69" w14:textId="5E0754B8" w:rsidR="009571EB" w:rsidRDefault="009571EB" w:rsidP="00B50D43">
            <w:pPr>
              <w:pStyle w:val="Bullet"/>
            </w:pPr>
            <w:r w:rsidRPr="006C6327">
              <w:t>Payroll only option $15</w:t>
            </w:r>
            <w:r w:rsidR="00B50D43">
              <w:t xml:space="preserve"> per month</w:t>
            </w:r>
            <w:r w:rsidRPr="006C6327">
              <w:t xml:space="preserve">   (super not integrated)</w:t>
            </w:r>
          </w:p>
        </w:tc>
      </w:tr>
      <w:tr w:rsidR="00BB7A53" w14:paraId="05774E2C" w14:textId="77777777" w:rsidTr="00BB7A53">
        <w:trPr>
          <w:cnfStyle w:val="000000010000" w:firstRow="0" w:lastRow="0" w:firstColumn="0" w:lastColumn="0" w:oddVBand="0" w:evenVBand="0" w:oddHBand="0" w:evenHBand="1" w:firstRowFirstColumn="0" w:firstRowLastColumn="0" w:lastRowFirstColumn="0" w:lastRowLastColumn="0"/>
        </w:trPr>
        <w:tc>
          <w:tcPr>
            <w:tcW w:w="1667" w:type="pct"/>
          </w:tcPr>
          <w:p w14:paraId="60386C91" w14:textId="77777777" w:rsidR="00BB7A53" w:rsidRPr="00EC4A91" w:rsidRDefault="00BB7A53" w:rsidP="00BB7A53">
            <w:pPr>
              <w:pStyle w:val="Caption"/>
              <w:ind w:left="0" w:firstLine="0"/>
              <w:rPr>
                <w:rFonts w:ascii="Calibri Light" w:hAnsi="Calibri Light" w:cs="Calibri Light"/>
                <w:b w:val="0"/>
                <w:sz w:val="22"/>
                <w:szCs w:val="22"/>
              </w:rPr>
            </w:pPr>
            <w:r w:rsidRPr="00EC4A91">
              <w:rPr>
                <w:rFonts w:ascii="Calibri Light" w:hAnsi="Calibri Light" w:cs="Calibri Light"/>
                <w:b w:val="0"/>
                <w:color w:val="000000"/>
                <w:sz w:val="22"/>
                <w:szCs w:val="22"/>
                <w:lang w:eastAsia="en-AU"/>
              </w:rPr>
              <w:lastRenderedPageBreak/>
              <w:t>MYOB</w:t>
            </w:r>
          </w:p>
        </w:tc>
        <w:tc>
          <w:tcPr>
            <w:tcW w:w="1667" w:type="pct"/>
          </w:tcPr>
          <w:p w14:paraId="6FA9E3FE" w14:textId="77777777" w:rsidR="00BB7A53" w:rsidRPr="00EC4A91" w:rsidRDefault="00BB7A53" w:rsidP="00BB7A53">
            <w:pPr>
              <w:pStyle w:val="Caption"/>
              <w:ind w:left="0" w:firstLine="0"/>
              <w:rPr>
                <w:rFonts w:ascii="Calibri Light" w:hAnsi="Calibri Light" w:cs="Calibri Light"/>
                <w:b w:val="0"/>
                <w:sz w:val="22"/>
                <w:szCs w:val="22"/>
              </w:rPr>
            </w:pPr>
            <w:r w:rsidRPr="00EC4A91">
              <w:rPr>
                <w:rFonts w:ascii="Calibri Light" w:hAnsi="Calibri Light" w:cs="Calibri Light"/>
                <w:b w:val="0"/>
                <w:color w:val="000000"/>
                <w:sz w:val="22"/>
                <w:szCs w:val="22"/>
                <w:lang w:eastAsia="en-AU"/>
              </w:rPr>
              <w:t>AccountRight</w:t>
            </w:r>
          </w:p>
        </w:tc>
        <w:tc>
          <w:tcPr>
            <w:tcW w:w="1666" w:type="pct"/>
          </w:tcPr>
          <w:p w14:paraId="639C8800" w14:textId="77777777" w:rsidR="00BB7A53" w:rsidRPr="0053709D" w:rsidRDefault="00BB7A53" w:rsidP="00BB7A53">
            <w:pPr>
              <w:rPr>
                <w:rFonts w:cstheme="minorHAnsi"/>
                <w:lang w:eastAsia="ja-JP"/>
              </w:rPr>
            </w:pPr>
            <w:r w:rsidRPr="0053709D">
              <w:rPr>
                <w:rFonts w:cstheme="minorHAnsi"/>
              </w:rPr>
              <w:t>All MYOB products include automated super payments in subscription fee, however, allows employer to choose.</w:t>
            </w:r>
          </w:p>
          <w:p w14:paraId="15B8A2A4" w14:textId="763E93EF" w:rsidR="00BB7A53" w:rsidRPr="0053709D" w:rsidRDefault="00BB7A53" w:rsidP="00BB7A53">
            <w:pPr>
              <w:rPr>
                <w:rFonts w:cstheme="minorHAnsi"/>
              </w:rPr>
            </w:pPr>
            <w:r w:rsidRPr="0053709D">
              <w:rPr>
                <w:rFonts w:cstheme="minorHAnsi"/>
              </w:rPr>
              <w:t>3</w:t>
            </w:r>
            <w:r w:rsidRPr="0053709D">
              <w:rPr>
                <w:rFonts w:cstheme="minorHAnsi"/>
                <w:vertAlign w:val="superscript"/>
              </w:rPr>
              <w:t>rd</w:t>
            </w:r>
            <w:r w:rsidRPr="0053709D">
              <w:rPr>
                <w:rFonts w:cstheme="minorHAnsi"/>
              </w:rPr>
              <w:t xml:space="preserve"> party clearing house.</w:t>
            </w:r>
          </w:p>
          <w:p w14:paraId="6744362E" w14:textId="66B2913E" w:rsidR="00BB7A53" w:rsidRPr="0053709D" w:rsidRDefault="00BB7A53" w:rsidP="00BB7A53">
            <w:pPr>
              <w:pStyle w:val="ListParagraph"/>
              <w:numPr>
                <w:ilvl w:val="0"/>
                <w:numId w:val="47"/>
              </w:numPr>
              <w:spacing w:before="60" w:after="0"/>
              <w:ind w:left="460"/>
              <w:rPr>
                <w:rFonts w:cstheme="minorHAnsi"/>
              </w:rPr>
            </w:pPr>
            <w:r w:rsidRPr="0053709D">
              <w:rPr>
                <w:rFonts w:cstheme="minorHAnsi"/>
              </w:rPr>
              <w:t>MYOB Lite - $30</w:t>
            </w:r>
            <w:r w:rsidR="00F9570A">
              <w:rPr>
                <w:rFonts w:cstheme="minorHAnsi"/>
              </w:rPr>
              <w:t xml:space="preserve"> per month </w:t>
            </w:r>
            <w:r w:rsidRPr="0053709D">
              <w:rPr>
                <w:rFonts w:cstheme="minorHAnsi"/>
              </w:rPr>
              <w:t xml:space="preserve">(up to 2 employees)  </w:t>
            </w:r>
          </w:p>
          <w:p w14:paraId="3EDF834A" w14:textId="020B32F7" w:rsidR="00BB7A53" w:rsidRPr="00584853" w:rsidRDefault="00BB7A53" w:rsidP="00BB7A53">
            <w:pPr>
              <w:pStyle w:val="ListParagraph"/>
              <w:numPr>
                <w:ilvl w:val="0"/>
                <w:numId w:val="47"/>
              </w:numPr>
              <w:spacing w:before="60" w:after="0"/>
              <w:ind w:left="460"/>
              <w:rPr>
                <w:rFonts w:cstheme="minorHAnsi"/>
              </w:rPr>
            </w:pPr>
            <w:r w:rsidRPr="00584853">
              <w:rPr>
                <w:rFonts w:cstheme="minorHAnsi"/>
              </w:rPr>
              <w:t>MYOB Pro - $55</w:t>
            </w:r>
            <w:r w:rsidR="00584853" w:rsidRPr="00584853">
              <w:rPr>
                <w:rFonts w:cstheme="minorHAnsi"/>
              </w:rPr>
              <w:t xml:space="preserve"> per month </w:t>
            </w:r>
            <w:r w:rsidRPr="00584853">
              <w:rPr>
                <w:rFonts w:cstheme="minorHAnsi"/>
              </w:rPr>
              <w:t>($1.50</w:t>
            </w:r>
            <w:r w:rsidR="008B4BC2">
              <w:rPr>
                <w:rFonts w:cstheme="minorHAnsi"/>
              </w:rPr>
              <w:t xml:space="preserve"> per month</w:t>
            </w:r>
            <w:r w:rsidRPr="00584853">
              <w:rPr>
                <w:rFonts w:cstheme="minorHAnsi"/>
              </w:rPr>
              <w:t xml:space="preserve"> for each employee)</w:t>
            </w:r>
          </w:p>
          <w:p w14:paraId="1FBC7C09" w14:textId="5903F2A3" w:rsidR="00BB7A53" w:rsidRPr="00584853" w:rsidRDefault="00BB7A53" w:rsidP="00BB7A53">
            <w:pPr>
              <w:pStyle w:val="ListParagraph"/>
              <w:numPr>
                <w:ilvl w:val="0"/>
                <w:numId w:val="47"/>
              </w:numPr>
              <w:spacing w:before="60" w:after="0"/>
              <w:ind w:left="460"/>
              <w:rPr>
                <w:rFonts w:cstheme="minorHAnsi"/>
              </w:rPr>
            </w:pPr>
            <w:r w:rsidRPr="00584853">
              <w:rPr>
                <w:rFonts w:cstheme="minorHAnsi"/>
              </w:rPr>
              <w:t>AccountRight Plus - $136</w:t>
            </w:r>
            <w:r w:rsidR="008B4BC2">
              <w:rPr>
                <w:rFonts w:cstheme="minorHAnsi"/>
              </w:rPr>
              <w:t xml:space="preserve"> per month</w:t>
            </w:r>
          </w:p>
          <w:p w14:paraId="1CEF2A0E" w14:textId="683BBD05" w:rsidR="00BB7A53" w:rsidRPr="00584853" w:rsidRDefault="00BB7A53" w:rsidP="00BB7A53">
            <w:pPr>
              <w:pStyle w:val="ListParagraph"/>
              <w:numPr>
                <w:ilvl w:val="0"/>
                <w:numId w:val="47"/>
              </w:numPr>
              <w:spacing w:before="60" w:after="0"/>
              <w:ind w:left="460"/>
              <w:rPr>
                <w:rFonts w:cstheme="minorHAnsi"/>
              </w:rPr>
            </w:pPr>
            <w:r w:rsidRPr="00584853">
              <w:rPr>
                <w:rFonts w:cstheme="minorHAnsi"/>
              </w:rPr>
              <w:t>AccountRight Premier $170</w:t>
            </w:r>
            <w:r w:rsidR="008B4BC2">
              <w:rPr>
                <w:rFonts w:cstheme="minorHAnsi"/>
              </w:rPr>
              <w:t xml:space="preserve"> month</w:t>
            </w:r>
          </w:p>
          <w:p w14:paraId="1E2D2B30" w14:textId="1F667DCE" w:rsidR="00BB7A53" w:rsidRPr="00584853" w:rsidRDefault="00BB7A53" w:rsidP="00BB7A53">
            <w:pPr>
              <w:pStyle w:val="ListParagraph"/>
              <w:numPr>
                <w:ilvl w:val="0"/>
                <w:numId w:val="47"/>
              </w:numPr>
              <w:spacing w:before="60" w:after="0"/>
              <w:ind w:left="460"/>
              <w:rPr>
                <w:rFonts w:cstheme="minorHAnsi"/>
              </w:rPr>
            </w:pPr>
            <w:r w:rsidRPr="00584853">
              <w:rPr>
                <w:rFonts w:cstheme="minorHAnsi"/>
              </w:rPr>
              <w:t>MYOB Business (Payroll only) is $10</w:t>
            </w:r>
            <w:r w:rsidR="008B4BC2">
              <w:rPr>
                <w:rFonts w:cstheme="minorHAnsi"/>
              </w:rPr>
              <w:t xml:space="preserve"> per month</w:t>
            </w:r>
            <w:r w:rsidRPr="00584853">
              <w:rPr>
                <w:rFonts w:cstheme="minorHAnsi"/>
              </w:rPr>
              <w:t xml:space="preserve"> for up to 4 employees and has automated super contributions.</w:t>
            </w:r>
          </w:p>
          <w:p w14:paraId="45DE8A95" w14:textId="77777777" w:rsidR="00BB7A53" w:rsidRPr="0053709D" w:rsidRDefault="00BB7A53" w:rsidP="00BB7A53">
            <w:pPr>
              <w:pStyle w:val="Caption"/>
              <w:ind w:left="0" w:firstLine="0"/>
              <w:rPr>
                <w:rFonts w:asciiTheme="minorHAnsi" w:hAnsiTheme="minorHAnsi" w:cstheme="minorHAnsi"/>
                <w:sz w:val="22"/>
                <w:szCs w:val="22"/>
              </w:rPr>
            </w:pPr>
          </w:p>
        </w:tc>
      </w:tr>
      <w:tr w:rsidR="00BB7A53" w14:paraId="160FC43F" w14:textId="77777777" w:rsidTr="00BB7A53">
        <w:tc>
          <w:tcPr>
            <w:tcW w:w="1667" w:type="pct"/>
          </w:tcPr>
          <w:p w14:paraId="4CFEB1DE" w14:textId="77777777" w:rsidR="00BB7A53" w:rsidRPr="00EC4A91" w:rsidRDefault="00BB7A53" w:rsidP="00BB7A53">
            <w:pPr>
              <w:pStyle w:val="Caption"/>
              <w:ind w:left="0" w:firstLine="0"/>
              <w:rPr>
                <w:rFonts w:ascii="Calibri Light" w:hAnsi="Calibri Light" w:cs="Calibri Light"/>
                <w:b w:val="0"/>
                <w:sz w:val="22"/>
                <w:szCs w:val="22"/>
              </w:rPr>
            </w:pPr>
            <w:proofErr w:type="spellStart"/>
            <w:r w:rsidRPr="00EC4A91">
              <w:rPr>
                <w:rFonts w:ascii="Calibri Light" w:hAnsi="Calibri Light" w:cs="Calibri Light"/>
                <w:b w:val="0"/>
                <w:color w:val="000000"/>
                <w:sz w:val="22"/>
                <w:szCs w:val="22"/>
                <w:lang w:eastAsia="en-AU"/>
              </w:rPr>
              <w:t>Webscale</w:t>
            </w:r>
            <w:proofErr w:type="spellEnd"/>
          </w:p>
        </w:tc>
        <w:tc>
          <w:tcPr>
            <w:tcW w:w="1667" w:type="pct"/>
          </w:tcPr>
          <w:p w14:paraId="61FA8137" w14:textId="77777777" w:rsidR="00BB7A53" w:rsidRPr="00EC4A91" w:rsidRDefault="00BB7A53" w:rsidP="00BB7A53">
            <w:pPr>
              <w:pStyle w:val="Caption"/>
              <w:ind w:left="0" w:firstLine="0"/>
              <w:rPr>
                <w:rFonts w:ascii="Calibri Light" w:hAnsi="Calibri Light" w:cs="Calibri Light"/>
                <w:b w:val="0"/>
                <w:sz w:val="22"/>
                <w:szCs w:val="22"/>
              </w:rPr>
            </w:pPr>
            <w:proofErr w:type="spellStart"/>
            <w:r w:rsidRPr="00EC4A91">
              <w:rPr>
                <w:rFonts w:ascii="Calibri Light" w:hAnsi="Calibri Light" w:cs="Calibri Light"/>
                <w:b w:val="0"/>
                <w:color w:val="000000"/>
                <w:sz w:val="22"/>
                <w:szCs w:val="22"/>
                <w:lang w:eastAsia="en-AU"/>
              </w:rPr>
              <w:t>Keypay</w:t>
            </w:r>
            <w:proofErr w:type="spellEnd"/>
          </w:p>
        </w:tc>
        <w:tc>
          <w:tcPr>
            <w:tcW w:w="1666" w:type="pct"/>
          </w:tcPr>
          <w:p w14:paraId="623C0693" w14:textId="77777777" w:rsidR="00BB7A53" w:rsidRPr="004402DE" w:rsidRDefault="00BB7A53" w:rsidP="00BB7A53">
            <w:pPr>
              <w:ind w:left="146"/>
              <w:rPr>
                <w:rFonts w:cstheme="minorHAnsi"/>
                <w:color w:val="000000"/>
              </w:rPr>
            </w:pPr>
            <w:r w:rsidRPr="004402DE">
              <w:rPr>
                <w:rFonts w:cstheme="minorHAnsi"/>
                <w:color w:val="000000"/>
              </w:rPr>
              <w:t>BEAM clearing house included in subscription.</w:t>
            </w:r>
          </w:p>
          <w:p w14:paraId="33D52F50" w14:textId="77777777" w:rsidR="00BB7A53" w:rsidRPr="004402DE" w:rsidRDefault="00BB7A53" w:rsidP="00BB7A53">
            <w:pPr>
              <w:ind w:left="146"/>
              <w:rPr>
                <w:rFonts w:cstheme="minorHAnsi"/>
                <w:color w:val="000000"/>
              </w:rPr>
            </w:pPr>
            <w:r w:rsidRPr="004402DE">
              <w:rPr>
                <w:rFonts w:cstheme="minorHAnsi"/>
                <w:color w:val="000000"/>
              </w:rPr>
              <w:t>Users can choose their own 3</w:t>
            </w:r>
            <w:r w:rsidRPr="004402DE">
              <w:rPr>
                <w:rFonts w:cstheme="minorHAnsi"/>
                <w:color w:val="000000"/>
                <w:vertAlign w:val="superscript"/>
              </w:rPr>
              <w:t>rd</w:t>
            </w:r>
            <w:r w:rsidRPr="004402DE">
              <w:rPr>
                <w:rFonts w:cstheme="minorHAnsi"/>
                <w:color w:val="000000"/>
              </w:rPr>
              <w:t xml:space="preserve"> party clearing house.</w:t>
            </w:r>
          </w:p>
          <w:p w14:paraId="1484D7D9" w14:textId="77777777" w:rsidR="00BB7A53" w:rsidRPr="004402DE" w:rsidRDefault="00BB7A53" w:rsidP="00BB7A53">
            <w:pPr>
              <w:ind w:left="146"/>
              <w:rPr>
                <w:rFonts w:cstheme="minorHAnsi"/>
                <w:color w:val="000000"/>
              </w:rPr>
            </w:pPr>
            <w:r w:rsidRPr="004402DE">
              <w:rPr>
                <w:rFonts w:cstheme="minorHAnsi"/>
                <w:color w:val="000000"/>
              </w:rPr>
              <w:t xml:space="preserve">Automated superannuation is included for free every quarter. </w:t>
            </w:r>
          </w:p>
          <w:p w14:paraId="475953C2" w14:textId="77777777" w:rsidR="00BB7A53" w:rsidRPr="004402DE" w:rsidRDefault="00BB7A53" w:rsidP="00BB7A53">
            <w:pPr>
              <w:ind w:left="146"/>
              <w:rPr>
                <w:rFonts w:cstheme="minorHAnsi"/>
                <w:color w:val="000000"/>
              </w:rPr>
            </w:pPr>
            <w:r w:rsidRPr="004402DE">
              <w:rPr>
                <w:rFonts w:cstheme="minorHAnsi"/>
                <w:color w:val="000000"/>
              </w:rPr>
              <w:t xml:space="preserve">If a payer wants to report and pay Super in line with </w:t>
            </w:r>
            <w:proofErr w:type="spellStart"/>
            <w:r w:rsidRPr="004402DE">
              <w:rPr>
                <w:rFonts w:cstheme="minorHAnsi"/>
                <w:color w:val="000000"/>
              </w:rPr>
              <w:t>payrun</w:t>
            </w:r>
            <w:proofErr w:type="spellEnd"/>
            <w:r w:rsidRPr="004402DE">
              <w:rPr>
                <w:rFonts w:cstheme="minorHAnsi"/>
                <w:color w:val="000000"/>
              </w:rPr>
              <w:t xml:space="preserve">, they can choose to do so at a cost of $0.25 per employee. </w:t>
            </w:r>
          </w:p>
          <w:p w14:paraId="48EF0E98" w14:textId="77777777" w:rsidR="00BB7A53" w:rsidRPr="0053709D" w:rsidRDefault="00BB7A53" w:rsidP="00BB7A53">
            <w:pPr>
              <w:pStyle w:val="Caption"/>
              <w:ind w:left="0" w:firstLine="0"/>
              <w:rPr>
                <w:rFonts w:asciiTheme="minorHAnsi" w:hAnsiTheme="minorHAnsi" w:cstheme="minorHAnsi"/>
                <w:sz w:val="22"/>
                <w:szCs w:val="22"/>
              </w:rPr>
            </w:pPr>
          </w:p>
        </w:tc>
      </w:tr>
      <w:tr w:rsidR="00BB7A53" w14:paraId="77323B25" w14:textId="77777777" w:rsidTr="00BB7A53">
        <w:trPr>
          <w:cnfStyle w:val="000000010000" w:firstRow="0" w:lastRow="0" w:firstColumn="0" w:lastColumn="0" w:oddVBand="0" w:evenVBand="0" w:oddHBand="0" w:evenHBand="1" w:firstRowFirstColumn="0" w:firstRowLastColumn="0" w:lastRowFirstColumn="0" w:lastRowLastColumn="0"/>
        </w:trPr>
        <w:tc>
          <w:tcPr>
            <w:tcW w:w="1667" w:type="pct"/>
          </w:tcPr>
          <w:p w14:paraId="75E8755B" w14:textId="77777777" w:rsidR="00BB7A53" w:rsidRPr="00EC4A91" w:rsidRDefault="00BB7A53" w:rsidP="00BB7A53">
            <w:pPr>
              <w:rPr>
                <w:rFonts w:cs="Calibri Light"/>
                <w:color w:val="000000"/>
                <w:sz w:val="22"/>
                <w:szCs w:val="22"/>
              </w:rPr>
            </w:pPr>
            <w:r w:rsidRPr="00EC4A91">
              <w:rPr>
                <w:rFonts w:cs="Calibri Light"/>
                <w:color w:val="000000"/>
                <w:sz w:val="22"/>
                <w:szCs w:val="22"/>
              </w:rPr>
              <w:t>Reckon</w:t>
            </w:r>
          </w:p>
          <w:p w14:paraId="71EB2768" w14:textId="77777777" w:rsidR="00BB7A53" w:rsidRPr="00EC4A91" w:rsidRDefault="00BB7A53" w:rsidP="00BB7A53">
            <w:pPr>
              <w:pStyle w:val="Caption"/>
              <w:ind w:left="0" w:firstLine="0"/>
              <w:rPr>
                <w:rFonts w:ascii="Calibri Light" w:hAnsi="Calibri Light" w:cs="Calibri Light"/>
                <w:b w:val="0"/>
                <w:sz w:val="22"/>
                <w:szCs w:val="22"/>
              </w:rPr>
            </w:pPr>
          </w:p>
        </w:tc>
        <w:tc>
          <w:tcPr>
            <w:tcW w:w="1667" w:type="pct"/>
          </w:tcPr>
          <w:p w14:paraId="6553AAA7" w14:textId="77777777" w:rsidR="00BB7A53" w:rsidRPr="00EC4A91" w:rsidRDefault="00BB7A53" w:rsidP="00BB7A53">
            <w:pPr>
              <w:pStyle w:val="Caption"/>
              <w:ind w:left="0" w:firstLine="0"/>
              <w:rPr>
                <w:rFonts w:ascii="Calibri Light" w:hAnsi="Calibri Light" w:cs="Calibri Light"/>
                <w:b w:val="0"/>
                <w:sz w:val="22"/>
                <w:szCs w:val="22"/>
              </w:rPr>
            </w:pPr>
            <w:r w:rsidRPr="00EC4A91">
              <w:rPr>
                <w:rFonts w:ascii="Calibri Light" w:hAnsi="Calibri Light" w:cs="Calibri Light"/>
                <w:b w:val="0"/>
                <w:color w:val="000000"/>
                <w:sz w:val="22"/>
                <w:szCs w:val="22"/>
                <w:lang w:eastAsia="en-AU"/>
              </w:rPr>
              <w:t xml:space="preserve">Reckon </w:t>
            </w:r>
            <w:proofErr w:type="spellStart"/>
            <w:r w:rsidRPr="00EC4A91">
              <w:rPr>
                <w:rFonts w:ascii="Calibri Light" w:hAnsi="Calibri Light" w:cs="Calibri Light"/>
                <w:b w:val="0"/>
                <w:color w:val="000000"/>
                <w:sz w:val="22"/>
                <w:szCs w:val="22"/>
                <w:lang w:eastAsia="en-AU"/>
              </w:rPr>
              <w:t>GovConnect</w:t>
            </w:r>
            <w:proofErr w:type="spellEnd"/>
            <w:r w:rsidRPr="00EC4A91">
              <w:rPr>
                <w:rFonts w:ascii="Calibri Light" w:hAnsi="Calibri Light" w:cs="Calibri Light"/>
                <w:b w:val="0"/>
                <w:color w:val="000000"/>
                <w:sz w:val="22"/>
                <w:szCs w:val="22"/>
                <w:lang w:eastAsia="en-AU"/>
              </w:rPr>
              <w:t xml:space="preserve"> STP</w:t>
            </w:r>
          </w:p>
        </w:tc>
        <w:tc>
          <w:tcPr>
            <w:tcW w:w="1666" w:type="pct"/>
          </w:tcPr>
          <w:p w14:paraId="55C6BBD5" w14:textId="77777777" w:rsidR="00BB7A53" w:rsidRPr="00C05A87" w:rsidRDefault="00BB7A53" w:rsidP="00BB7A53">
            <w:pPr>
              <w:ind w:left="146"/>
              <w:rPr>
                <w:rFonts w:cstheme="minorHAnsi"/>
                <w:color w:val="000000"/>
              </w:rPr>
            </w:pPr>
            <w:r w:rsidRPr="00C05A87">
              <w:rPr>
                <w:rFonts w:cstheme="minorHAnsi"/>
                <w:color w:val="000000"/>
              </w:rPr>
              <w:t>BEAM clearing house included in subscription.</w:t>
            </w:r>
          </w:p>
          <w:p w14:paraId="36B9EDFD" w14:textId="46FC7804" w:rsidR="00BB7A53" w:rsidRPr="00C05A87" w:rsidRDefault="00BB7A53" w:rsidP="004402DE">
            <w:pPr>
              <w:ind w:left="146"/>
              <w:rPr>
                <w:rFonts w:cstheme="minorHAnsi"/>
                <w:color w:val="000000"/>
              </w:rPr>
            </w:pPr>
            <w:r w:rsidRPr="00C05A87">
              <w:rPr>
                <w:rFonts w:cstheme="minorHAnsi"/>
                <w:color w:val="000000"/>
              </w:rPr>
              <w:t>Users can choose their own 3</w:t>
            </w:r>
            <w:r w:rsidRPr="00C05A87">
              <w:rPr>
                <w:rFonts w:cstheme="minorHAnsi"/>
                <w:color w:val="000000"/>
                <w:vertAlign w:val="superscript"/>
              </w:rPr>
              <w:t>rd</w:t>
            </w:r>
            <w:r w:rsidRPr="00C05A87">
              <w:rPr>
                <w:rFonts w:cstheme="minorHAnsi"/>
                <w:color w:val="000000"/>
              </w:rPr>
              <w:t xml:space="preserve"> party clearing house.</w:t>
            </w:r>
          </w:p>
          <w:p w14:paraId="15EBDCAD" w14:textId="2CCC2F13" w:rsidR="00BB7A53" w:rsidRPr="00C05A87" w:rsidRDefault="00BB7A53" w:rsidP="00BB7A53">
            <w:pPr>
              <w:ind w:left="146"/>
              <w:rPr>
                <w:rFonts w:cstheme="minorHAnsi"/>
                <w:color w:val="000000"/>
              </w:rPr>
            </w:pPr>
            <w:r w:rsidRPr="00C05A87">
              <w:rPr>
                <w:rFonts w:cstheme="minorHAnsi"/>
                <w:color w:val="000000"/>
              </w:rPr>
              <w:t>Essentials and Payroll - $45</w:t>
            </w:r>
            <w:r w:rsidR="004402DE" w:rsidRPr="00C05A87">
              <w:rPr>
                <w:rFonts w:cstheme="minorHAnsi"/>
                <w:color w:val="000000"/>
              </w:rPr>
              <w:t xml:space="preserve"> per month</w:t>
            </w:r>
          </w:p>
          <w:p w14:paraId="147DA38E" w14:textId="42EE8980" w:rsidR="00BB7A53" w:rsidRPr="00C05A87" w:rsidRDefault="00BB7A53" w:rsidP="00BB7A53">
            <w:pPr>
              <w:ind w:left="146"/>
              <w:rPr>
                <w:rFonts w:cstheme="minorHAnsi"/>
                <w:color w:val="000000"/>
              </w:rPr>
            </w:pPr>
            <w:r w:rsidRPr="00C05A87">
              <w:rPr>
                <w:rFonts w:cstheme="minorHAnsi"/>
                <w:color w:val="000000"/>
              </w:rPr>
              <w:t>Premium $63</w:t>
            </w:r>
            <w:r w:rsidR="004402DE" w:rsidRPr="00C05A87">
              <w:rPr>
                <w:rFonts w:cstheme="minorHAnsi"/>
                <w:color w:val="000000"/>
              </w:rPr>
              <w:t xml:space="preserve"> per month</w:t>
            </w:r>
          </w:p>
          <w:p w14:paraId="32F835BC" w14:textId="77777777" w:rsidR="00BB7A53" w:rsidRPr="00C05A87" w:rsidRDefault="00BB7A53" w:rsidP="00BB7A53">
            <w:pPr>
              <w:pStyle w:val="Caption"/>
              <w:ind w:left="0" w:firstLine="0"/>
              <w:rPr>
                <w:rFonts w:asciiTheme="minorHAnsi" w:hAnsiTheme="minorHAnsi" w:cstheme="minorHAnsi"/>
                <w:szCs w:val="20"/>
              </w:rPr>
            </w:pPr>
          </w:p>
        </w:tc>
      </w:tr>
      <w:tr w:rsidR="00BB7A53" w14:paraId="1C6866A0" w14:textId="77777777" w:rsidTr="00BB7A53">
        <w:tc>
          <w:tcPr>
            <w:tcW w:w="1667" w:type="pct"/>
          </w:tcPr>
          <w:p w14:paraId="5D13F014" w14:textId="77777777" w:rsidR="00BB7A53" w:rsidRPr="00EC4A91" w:rsidRDefault="00BB7A53" w:rsidP="00BB7A53">
            <w:pPr>
              <w:pStyle w:val="Caption"/>
              <w:ind w:left="0" w:firstLine="0"/>
              <w:rPr>
                <w:rFonts w:ascii="Calibri Light" w:hAnsi="Calibri Light" w:cs="Calibri Light"/>
                <w:b w:val="0"/>
                <w:bCs/>
                <w:sz w:val="22"/>
                <w:szCs w:val="22"/>
              </w:rPr>
            </w:pPr>
            <w:r w:rsidRPr="00EC4A91">
              <w:rPr>
                <w:rFonts w:ascii="Calibri Light" w:hAnsi="Calibri Light" w:cs="Calibri Light"/>
                <w:b w:val="0"/>
                <w:bCs/>
                <w:color w:val="000000"/>
                <w:sz w:val="22"/>
                <w:szCs w:val="22"/>
                <w:lang w:eastAsia="en-AU"/>
              </w:rPr>
              <w:lastRenderedPageBreak/>
              <w:t>Payroller</w:t>
            </w:r>
          </w:p>
        </w:tc>
        <w:tc>
          <w:tcPr>
            <w:tcW w:w="1667" w:type="pct"/>
          </w:tcPr>
          <w:p w14:paraId="60EE0FFF" w14:textId="77777777" w:rsidR="00BB7A53" w:rsidRPr="00EC4A91" w:rsidRDefault="00BB7A53" w:rsidP="00BB7A53">
            <w:pPr>
              <w:pStyle w:val="Caption"/>
              <w:ind w:left="0" w:firstLine="0"/>
              <w:rPr>
                <w:rFonts w:ascii="Calibri Light" w:hAnsi="Calibri Light" w:cs="Calibri Light"/>
                <w:b w:val="0"/>
                <w:bCs/>
                <w:sz w:val="22"/>
                <w:szCs w:val="22"/>
              </w:rPr>
            </w:pPr>
            <w:r w:rsidRPr="00EC4A91">
              <w:rPr>
                <w:rFonts w:ascii="Calibri Light" w:hAnsi="Calibri Light" w:cs="Calibri Light"/>
                <w:b w:val="0"/>
                <w:bCs/>
                <w:color w:val="000000"/>
                <w:sz w:val="22"/>
                <w:szCs w:val="22"/>
                <w:lang w:eastAsia="en-AU"/>
              </w:rPr>
              <w:t>Payroller</w:t>
            </w:r>
          </w:p>
        </w:tc>
        <w:tc>
          <w:tcPr>
            <w:tcW w:w="1666" w:type="pct"/>
          </w:tcPr>
          <w:p w14:paraId="27E89696" w14:textId="77777777" w:rsidR="00BB7A53" w:rsidRPr="00C05A87" w:rsidRDefault="00BB7A53" w:rsidP="00BB7A53">
            <w:pPr>
              <w:ind w:left="146"/>
              <w:rPr>
                <w:rFonts w:cstheme="minorHAnsi"/>
                <w:color w:val="000000"/>
              </w:rPr>
            </w:pPr>
            <w:r w:rsidRPr="00C05A87">
              <w:rPr>
                <w:rFonts w:cstheme="minorHAnsi"/>
                <w:color w:val="000000"/>
              </w:rPr>
              <w:t>BEAM clearing house included in subscription.</w:t>
            </w:r>
          </w:p>
          <w:p w14:paraId="269E53C9" w14:textId="3E62F3B3" w:rsidR="00BB7A53" w:rsidRPr="00C05A87" w:rsidRDefault="00BB7A53" w:rsidP="00BB7A53">
            <w:pPr>
              <w:ind w:left="146"/>
              <w:rPr>
                <w:rFonts w:cstheme="minorHAnsi"/>
                <w:color w:val="000000"/>
              </w:rPr>
            </w:pPr>
            <w:r w:rsidRPr="00C05A87">
              <w:rPr>
                <w:rFonts w:cstheme="minorHAnsi"/>
                <w:color w:val="000000"/>
              </w:rPr>
              <w:t>Users can choose their own 3</w:t>
            </w:r>
            <w:r w:rsidRPr="00C05A87">
              <w:rPr>
                <w:rFonts w:cstheme="minorHAnsi"/>
                <w:color w:val="000000"/>
                <w:vertAlign w:val="superscript"/>
              </w:rPr>
              <w:t>rd</w:t>
            </w:r>
            <w:r w:rsidRPr="00C05A87">
              <w:rPr>
                <w:rFonts w:cstheme="minorHAnsi"/>
                <w:color w:val="000000"/>
              </w:rPr>
              <w:t xml:space="preserve"> party clearing house.</w:t>
            </w:r>
          </w:p>
          <w:p w14:paraId="230100B1" w14:textId="77777777" w:rsidR="00BB7A53" w:rsidRPr="00C05A87" w:rsidRDefault="00BB7A53" w:rsidP="00BB7A53">
            <w:pPr>
              <w:ind w:left="146"/>
              <w:rPr>
                <w:rFonts w:cstheme="minorHAnsi"/>
                <w:color w:val="000000"/>
              </w:rPr>
            </w:pPr>
            <w:r w:rsidRPr="00C05A87">
              <w:rPr>
                <w:rFonts w:cstheme="minorHAnsi"/>
                <w:color w:val="000000"/>
              </w:rPr>
              <w:t>Lite – Free</w:t>
            </w:r>
          </w:p>
          <w:p w14:paraId="78844264" w14:textId="0980F338" w:rsidR="00BB7A53" w:rsidRPr="00C05A87" w:rsidRDefault="00BB7A53" w:rsidP="00BB7A53">
            <w:pPr>
              <w:ind w:left="146"/>
              <w:rPr>
                <w:rFonts w:cstheme="minorHAnsi"/>
                <w:color w:val="000000"/>
              </w:rPr>
            </w:pPr>
            <w:r w:rsidRPr="00C05A87">
              <w:rPr>
                <w:rFonts w:cstheme="minorHAnsi"/>
                <w:color w:val="000000"/>
              </w:rPr>
              <w:t>Standard $1.99</w:t>
            </w:r>
            <w:r w:rsidR="00C05A87" w:rsidRPr="00C05A87">
              <w:rPr>
                <w:rFonts w:cstheme="minorHAnsi"/>
                <w:color w:val="000000"/>
              </w:rPr>
              <w:t xml:space="preserve"> per </w:t>
            </w:r>
            <w:r w:rsidRPr="00C05A87">
              <w:rPr>
                <w:rFonts w:cstheme="minorHAnsi"/>
                <w:color w:val="000000"/>
              </w:rPr>
              <w:t>month per employee</w:t>
            </w:r>
          </w:p>
          <w:p w14:paraId="04F3EA19" w14:textId="77777777" w:rsidR="00BB7A53" w:rsidRPr="00C05A87" w:rsidRDefault="00BB7A53" w:rsidP="00C05A87">
            <w:pPr>
              <w:ind w:left="146"/>
              <w:rPr>
                <w:rFonts w:asciiTheme="minorHAnsi" w:hAnsiTheme="minorHAnsi" w:cstheme="minorHAnsi"/>
                <w:b/>
                <w:bCs/>
              </w:rPr>
            </w:pPr>
            <w:r w:rsidRPr="00C05A87">
              <w:rPr>
                <w:rFonts w:cstheme="minorHAnsi"/>
                <w:color w:val="000000"/>
              </w:rPr>
              <w:t>Enterprise – price not available</w:t>
            </w:r>
          </w:p>
        </w:tc>
      </w:tr>
    </w:tbl>
    <w:p w14:paraId="666714E5" w14:textId="77777777" w:rsidR="00BF123E" w:rsidRDefault="00BF123E" w:rsidP="00BF123E"/>
    <w:sectPr w:rsidR="00BF123E" w:rsidSect="00C0677A">
      <w:headerReference w:type="default" r:id="rId13"/>
      <w:footerReference w:type="default" r:id="rId14"/>
      <w:headerReference w:type="first" r:id="rId15"/>
      <w:footerReference w:type="first" r:id="rId16"/>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2837A" w14:textId="77777777" w:rsidR="00760A15" w:rsidRDefault="00760A15" w:rsidP="00D94EE3">
      <w:pPr>
        <w:spacing w:after="0"/>
      </w:pPr>
      <w:r>
        <w:separator/>
      </w:r>
    </w:p>
  </w:endnote>
  <w:endnote w:type="continuationSeparator" w:id="0">
    <w:p w14:paraId="61EDCE65" w14:textId="77777777" w:rsidR="00760A15" w:rsidRDefault="00760A15" w:rsidP="00D94EE3">
      <w:pPr>
        <w:spacing w:after="0"/>
      </w:pPr>
      <w:r>
        <w:continuationSeparator/>
      </w:r>
    </w:p>
  </w:endnote>
  <w:endnote w:type="continuationNotice" w:id="1">
    <w:p w14:paraId="1E6F5E3F" w14:textId="77777777" w:rsidR="00760A15" w:rsidRDefault="00760A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43319" w14:textId="77777777" w:rsidR="00C5286C" w:rsidRDefault="00C52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3956" w14:textId="77777777" w:rsidR="00C5286C" w:rsidRDefault="00C52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F646" w14:textId="77777777" w:rsidR="001C0415" w:rsidRDefault="001C0415" w:rsidP="001B2A30">
    <w:pPr>
      <w:pStyle w:val="FooterEven"/>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C3F4" w14:textId="3B2AFDDA" w:rsidR="00D94EE3" w:rsidRPr="00B80490" w:rsidRDefault="00B80490" w:rsidP="00B80490">
    <w:pPr>
      <w:pStyle w:val="FooterEven"/>
      <w:jc w:val="right"/>
    </w:pPr>
    <w:r>
      <w:drawing>
        <wp:anchor distT="0" distB="0" distL="114300" distR="114300" simplePos="0" relativeHeight="251658240" behindDoc="1" locked="0" layoutInCell="1" allowOverlap="0" wp14:anchorId="2170569F" wp14:editId="6DB7CFCD">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9571EB">
      <w:ptab w:relativeTo="margin" w:alignment="center" w:leader="none"/>
    </w:r>
    <w:r w:rsidR="009571EB">
      <w:t>Securing Australians’ Superannuation Package</w:t>
    </w:r>
    <w:r>
      <w:t xml:space="preserve"> | </w:t>
    </w:r>
    <w:r>
      <w:rPr>
        <w:noProof w:val="0"/>
      </w:rPr>
      <w:fldChar w:fldCharType="begin"/>
    </w:r>
    <w:r>
      <w:instrText xml:space="preserve"> PAGE   \* MERGEFORMAT </w:instrText>
    </w:r>
    <w:r>
      <w:rPr>
        <w:noProof w:val="0"/>
      </w:rPr>
      <w:fldChar w:fldCharType="separate"/>
    </w:r>
    <w:r w:rsidR="005D2D9A">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AA74C" w14:textId="5D5B986A" w:rsidR="001C0415" w:rsidRPr="001B2A30" w:rsidRDefault="001B2A30" w:rsidP="001B2A30">
    <w:pPr>
      <w:pStyle w:val="FooterEven"/>
      <w:jc w:val="right"/>
    </w:pPr>
    <w:r>
      <w:drawing>
        <wp:anchor distT="0" distB="0" distL="114300" distR="114300" simplePos="0" relativeHeight="251658244" behindDoc="1" locked="0" layoutInCell="1" allowOverlap="0" wp14:anchorId="4B2DCA40" wp14:editId="36B4E96B">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9571EB">
      <w:t>Securing Australians’ Superannuation Package</w:t>
    </w:r>
    <w:r>
      <w:t xml:space="preserve"> | </w:t>
    </w:r>
    <w:r>
      <w:rPr>
        <w:noProof w:val="0"/>
      </w:rPr>
      <w:fldChar w:fldCharType="begin"/>
    </w:r>
    <w:r>
      <w:instrText xml:space="preserve"> PAGE   \* MERGEFORMAT </w:instrText>
    </w:r>
    <w:r>
      <w:rPr>
        <w:noProof w:val="0"/>
      </w:rPr>
      <w:fldChar w:fldCharType="separate"/>
    </w:r>
    <w:r w:rsidR="005D2D9A">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4AAA2" w14:textId="77777777" w:rsidR="00760A15" w:rsidRDefault="00760A15" w:rsidP="00D94EE3">
      <w:pPr>
        <w:spacing w:after="0"/>
      </w:pPr>
      <w:r>
        <w:separator/>
      </w:r>
    </w:p>
  </w:footnote>
  <w:footnote w:type="continuationSeparator" w:id="0">
    <w:p w14:paraId="6BF5D99A" w14:textId="77777777" w:rsidR="00760A15" w:rsidRDefault="00760A15" w:rsidP="00D94EE3">
      <w:pPr>
        <w:spacing w:after="0"/>
      </w:pPr>
      <w:r>
        <w:continuationSeparator/>
      </w:r>
    </w:p>
  </w:footnote>
  <w:footnote w:type="continuationNotice" w:id="1">
    <w:p w14:paraId="50BA62A3" w14:textId="77777777" w:rsidR="00760A15" w:rsidRDefault="00760A15">
      <w:pPr>
        <w:spacing w:before="0" w:after="0"/>
      </w:pPr>
    </w:p>
  </w:footnote>
  <w:footnote w:id="2">
    <w:p w14:paraId="6C35BBAC" w14:textId="77777777" w:rsidR="009571EB" w:rsidRPr="004C3919" w:rsidRDefault="009571EB" w:rsidP="009571EB">
      <w:pPr>
        <w:pStyle w:val="FootnoteText"/>
      </w:pPr>
      <w:r>
        <w:rPr>
          <w:rStyle w:val="FootnoteReference"/>
        </w:rPr>
        <w:footnoteRef/>
      </w:r>
      <w:r>
        <w:t xml:space="preserve"> As of January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0A6C" w14:textId="77777777" w:rsidR="00C5286C" w:rsidRDefault="00C52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8DA4" w14:textId="77777777" w:rsidR="00C5286C" w:rsidRDefault="00C52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D9A9" w14:textId="77777777" w:rsidR="00647528" w:rsidRDefault="00647528">
    <w:pPr>
      <w:pStyle w:val="Header"/>
    </w:pPr>
    <w:r>
      <w:rPr>
        <w:noProof/>
      </w:rPr>
      <w:drawing>
        <wp:anchor distT="0" distB="0" distL="114300" distR="114300" simplePos="0" relativeHeight="251658243" behindDoc="1" locked="1" layoutInCell="1" allowOverlap="1" wp14:anchorId="52577BF0" wp14:editId="013A935D">
          <wp:simplePos x="0" y="0"/>
          <wp:positionH relativeFrom="page">
            <wp:posOffset>0</wp:posOffset>
          </wp:positionH>
          <wp:positionV relativeFrom="page">
            <wp:posOffset>0</wp:posOffset>
          </wp:positionV>
          <wp:extent cx="7578000" cy="10720800"/>
          <wp:effectExtent l="0" t="0" r="4445" b="4445"/>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9DB29" w14:textId="77777777" w:rsidR="00C0677A" w:rsidRDefault="00C0677A">
    <w:pPr>
      <w:pStyle w:val="Header"/>
    </w:pPr>
    <w:r>
      <w:rPr>
        <w:noProof/>
      </w:rPr>
      <w:drawing>
        <wp:anchor distT="0" distB="0" distL="114300" distR="114300" simplePos="0" relativeHeight="251658242" behindDoc="1" locked="1" layoutInCell="1" allowOverlap="1" wp14:anchorId="3D051384" wp14:editId="06CA7ED5">
          <wp:simplePos x="0" y="0"/>
          <wp:positionH relativeFrom="page">
            <wp:posOffset>0</wp:posOffset>
          </wp:positionH>
          <wp:positionV relativeFrom="page">
            <wp:posOffset>0</wp:posOffset>
          </wp:positionV>
          <wp:extent cx="7570800" cy="104400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EE14" w14:textId="77777777" w:rsidR="00C0677A" w:rsidRDefault="00C0677A">
    <w:pPr>
      <w:pStyle w:val="Header"/>
    </w:pPr>
    <w:r>
      <w:rPr>
        <w:noProof/>
      </w:rPr>
      <w:drawing>
        <wp:anchor distT="0" distB="0" distL="114300" distR="114300" simplePos="0" relativeHeight="251658241" behindDoc="1" locked="1" layoutInCell="1" allowOverlap="1" wp14:anchorId="3FABD499" wp14:editId="3E07C56D">
          <wp:simplePos x="0" y="0"/>
          <wp:positionH relativeFrom="page">
            <wp:posOffset>0</wp:posOffset>
          </wp:positionH>
          <wp:positionV relativeFrom="page">
            <wp:posOffset>0</wp:posOffset>
          </wp:positionV>
          <wp:extent cx="7570800" cy="104400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4658AA"/>
    <w:multiLevelType w:val="hybridMultilevel"/>
    <w:tmpl w:val="568EFDF2"/>
    <w:lvl w:ilvl="0" w:tplc="3848B10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955F3A"/>
    <w:multiLevelType w:val="hybridMultilevel"/>
    <w:tmpl w:val="F1E68396"/>
    <w:lvl w:ilvl="0" w:tplc="7DF007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8C2710"/>
    <w:multiLevelType w:val="multilevel"/>
    <w:tmpl w:val="1CE60C0C"/>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3E9F1474"/>
    <w:multiLevelType w:val="multilevel"/>
    <w:tmpl w:val="5D26FDFE"/>
    <w:name w:val="StandardNumberedList"/>
    <w:lvl w:ilvl="0">
      <w:start w:val="1"/>
      <w:numFmt w:val="decimal"/>
      <w:lvlText w:val="%1."/>
      <w:lvlJc w:val="left"/>
      <w:pPr>
        <w:tabs>
          <w:tab w:val="num" w:pos="520"/>
        </w:tabs>
        <w:ind w:left="520" w:hanging="520"/>
      </w:pPr>
      <w:rPr>
        <w:sz w:val="22"/>
        <w:szCs w:val="22"/>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895885"/>
    <w:multiLevelType w:val="hybridMultilevel"/>
    <w:tmpl w:val="76086C54"/>
    <w:lvl w:ilvl="0" w:tplc="3BB2959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10D2021"/>
    <w:multiLevelType w:val="multilevel"/>
    <w:tmpl w:val="72F8140E"/>
    <w:numStyleLink w:val="OutlineList"/>
  </w:abstractNum>
  <w:abstractNum w:abstractNumId="1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71423282"/>
    <w:multiLevelType w:val="multilevel"/>
    <w:tmpl w:val="970E65C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B16110"/>
    <w:multiLevelType w:val="multilevel"/>
    <w:tmpl w:val="3328F470"/>
    <w:name w:val="StandardBulletedList"/>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5"/>
  </w:num>
  <w:num w:numId="3">
    <w:abstractNumId w:val="4"/>
  </w:num>
  <w:num w:numId="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6"/>
  </w:num>
  <w:num w:numId="9">
    <w:abstractNumId w:val="6"/>
  </w:num>
  <w:num w:numId="10">
    <w:abstractNumId w:val="6"/>
  </w:num>
  <w:num w:numId="11">
    <w:abstractNumId w:val="6"/>
  </w:num>
  <w:num w:numId="12">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7"/>
  </w:num>
  <w:num w:numId="14">
    <w:abstractNumId w:val="2"/>
  </w:num>
  <w:num w:numId="15">
    <w:abstractNumId w:val="2"/>
  </w:num>
  <w:num w:numId="16">
    <w:abstractNumId w:val="2"/>
  </w:num>
  <w:num w:numId="17">
    <w:abstractNumId w:val="8"/>
  </w:num>
  <w:num w:numId="18">
    <w:abstractNumId w:val="12"/>
  </w:num>
  <w:num w:numId="19">
    <w:abstractNumId w:val="12"/>
  </w:num>
  <w:num w:numId="20">
    <w:abstractNumId w:val="12"/>
  </w:num>
  <w:num w:numId="21">
    <w:abstractNumId w:val="1"/>
  </w:num>
  <w:num w:numId="22">
    <w:abstractNumId w:val="4"/>
  </w:num>
  <w:num w:numId="2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6"/>
  </w:num>
  <w:num w:numId="27">
    <w:abstractNumId w:val="6"/>
  </w:num>
  <w:num w:numId="28">
    <w:abstractNumId w:val="6"/>
  </w:num>
  <w:num w:numId="29">
    <w:abstractNumId w:val="6"/>
  </w:num>
  <w:num w:numId="30">
    <w:abstractNumId w:val="6"/>
  </w:num>
  <w:num w:numId="31">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7"/>
  </w:num>
  <w:num w:numId="33">
    <w:abstractNumId w:val="2"/>
  </w:num>
  <w:num w:numId="34">
    <w:abstractNumId w:val="2"/>
  </w:num>
  <w:num w:numId="35">
    <w:abstractNumId w:val="2"/>
  </w:num>
  <w:num w:numId="36">
    <w:abstractNumId w:val="8"/>
  </w:num>
  <w:num w:numId="37">
    <w:abstractNumId w:val="12"/>
  </w:num>
  <w:num w:numId="38">
    <w:abstractNumId w:val="12"/>
  </w:num>
  <w:num w:numId="39">
    <w:abstractNumId w:val="12"/>
  </w:num>
  <w:num w:numId="40">
    <w:abstractNumId w:val="1"/>
  </w:num>
  <w:num w:numId="41">
    <w:abstractNumId w:val="11"/>
  </w:num>
  <w:num w:numId="4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4"/>
  </w:num>
  <w:num w:numId="45">
    <w:abstractNumId w:val="13"/>
  </w:num>
  <w:num w:numId="46">
    <w:abstractNumId w:val="9"/>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7">
    <w:abstractNumId w:val="3"/>
  </w:num>
  <w:num w:numId="48">
    <w:abstractNumId w:val="11"/>
  </w:num>
  <w:num w:numId="49">
    <w:abstractNumId w:val="1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A1"/>
    <w:rsid w:val="000029ED"/>
    <w:rsid w:val="00032999"/>
    <w:rsid w:val="000C3255"/>
    <w:rsid w:val="000F67A7"/>
    <w:rsid w:val="00112762"/>
    <w:rsid w:val="00126C30"/>
    <w:rsid w:val="00132A89"/>
    <w:rsid w:val="001464B0"/>
    <w:rsid w:val="00167F2F"/>
    <w:rsid w:val="00187A1E"/>
    <w:rsid w:val="00193C92"/>
    <w:rsid w:val="001B2A30"/>
    <w:rsid w:val="001B6E88"/>
    <w:rsid w:val="001C0415"/>
    <w:rsid w:val="001E493A"/>
    <w:rsid w:val="00241C39"/>
    <w:rsid w:val="002C2773"/>
    <w:rsid w:val="002D1FA5"/>
    <w:rsid w:val="002D4E31"/>
    <w:rsid w:val="002D511A"/>
    <w:rsid w:val="00380819"/>
    <w:rsid w:val="003A69D5"/>
    <w:rsid w:val="004402DE"/>
    <w:rsid w:val="004549D5"/>
    <w:rsid w:val="00487A71"/>
    <w:rsid w:val="0049519E"/>
    <w:rsid w:val="004E0AE7"/>
    <w:rsid w:val="004F074D"/>
    <w:rsid w:val="004F377E"/>
    <w:rsid w:val="00584853"/>
    <w:rsid w:val="005B256C"/>
    <w:rsid w:val="005D2D9A"/>
    <w:rsid w:val="005E64A4"/>
    <w:rsid w:val="006351F2"/>
    <w:rsid w:val="00647528"/>
    <w:rsid w:val="006610CA"/>
    <w:rsid w:val="006728C2"/>
    <w:rsid w:val="006945CB"/>
    <w:rsid w:val="006D1CFC"/>
    <w:rsid w:val="006D6957"/>
    <w:rsid w:val="006F1DEA"/>
    <w:rsid w:val="007562AA"/>
    <w:rsid w:val="00760A15"/>
    <w:rsid w:val="00781DEF"/>
    <w:rsid w:val="007835B0"/>
    <w:rsid w:val="00791F22"/>
    <w:rsid w:val="007C6D12"/>
    <w:rsid w:val="00845BB6"/>
    <w:rsid w:val="00882568"/>
    <w:rsid w:val="00891697"/>
    <w:rsid w:val="008A1A89"/>
    <w:rsid w:val="008A5ADF"/>
    <w:rsid w:val="008B4BC2"/>
    <w:rsid w:val="008E6862"/>
    <w:rsid w:val="00911794"/>
    <w:rsid w:val="00946506"/>
    <w:rsid w:val="009571EB"/>
    <w:rsid w:val="00962F90"/>
    <w:rsid w:val="009643E4"/>
    <w:rsid w:val="0098211E"/>
    <w:rsid w:val="00987CFF"/>
    <w:rsid w:val="009E4BCB"/>
    <w:rsid w:val="009F60B3"/>
    <w:rsid w:val="00A1045C"/>
    <w:rsid w:val="00A2558D"/>
    <w:rsid w:val="00A54EF7"/>
    <w:rsid w:val="00AA5110"/>
    <w:rsid w:val="00AB3792"/>
    <w:rsid w:val="00AC61A1"/>
    <w:rsid w:val="00B50D43"/>
    <w:rsid w:val="00B80490"/>
    <w:rsid w:val="00B87ADE"/>
    <w:rsid w:val="00BA38FA"/>
    <w:rsid w:val="00BB7A53"/>
    <w:rsid w:val="00BC02B6"/>
    <w:rsid w:val="00BC6E56"/>
    <w:rsid w:val="00BF123E"/>
    <w:rsid w:val="00C0504F"/>
    <w:rsid w:val="00C05A87"/>
    <w:rsid w:val="00C0677A"/>
    <w:rsid w:val="00C102F1"/>
    <w:rsid w:val="00C14B29"/>
    <w:rsid w:val="00C5064B"/>
    <w:rsid w:val="00C52355"/>
    <w:rsid w:val="00C5286C"/>
    <w:rsid w:val="00C66D85"/>
    <w:rsid w:val="00C725DE"/>
    <w:rsid w:val="00C73DB3"/>
    <w:rsid w:val="00C74EE2"/>
    <w:rsid w:val="00D44E7C"/>
    <w:rsid w:val="00D84885"/>
    <w:rsid w:val="00D94EE3"/>
    <w:rsid w:val="00DA2801"/>
    <w:rsid w:val="00DF5368"/>
    <w:rsid w:val="00E02B6D"/>
    <w:rsid w:val="00E551D2"/>
    <w:rsid w:val="00E8581B"/>
    <w:rsid w:val="00E900B8"/>
    <w:rsid w:val="00EA5697"/>
    <w:rsid w:val="00EA778C"/>
    <w:rsid w:val="00EB4007"/>
    <w:rsid w:val="00EC4A91"/>
    <w:rsid w:val="00F02F08"/>
    <w:rsid w:val="00F46E7E"/>
    <w:rsid w:val="00F7639C"/>
    <w:rsid w:val="00F9570A"/>
    <w:rsid w:val="00FA6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62"/>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F02F08"/>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F02F08"/>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F02F08"/>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F02F08"/>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F02F0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F02F08"/>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rsid w:val="00F02F08"/>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F02F08"/>
    <w:rPr>
      <w:rFonts w:ascii="Calibri Light" w:eastAsiaTheme="majorEastAsia" w:hAnsi="Calibri Light" w:cstheme="majorBidi"/>
      <w:b/>
      <w:color w:val="FFFFFF" w:themeColor="background1"/>
      <w:spacing w:val="5"/>
      <w:kern w:val="28"/>
      <w:sz w:val="72"/>
      <w:szCs w:val="52"/>
      <w:lang w:eastAsia="en-AU"/>
    </w:rPr>
  </w:style>
  <w:style w:type="character" w:customStyle="1" w:styleId="Heading1Char">
    <w:name w:val="Heading 1 Char"/>
    <w:basedOn w:val="DefaultParagraphFont"/>
    <w:link w:val="Heading1"/>
    <w:rsid w:val="00F02F08"/>
    <w:rPr>
      <w:rFonts w:ascii="Calibri" w:eastAsia="Times New Roman" w:hAnsi="Calibri" w:cs="Arial"/>
      <w:b/>
      <w:color w:val="5D779D" w:themeColor="accent3"/>
      <w:kern w:val="32"/>
      <w:sz w:val="44"/>
      <w:szCs w:val="36"/>
      <w:lang w:eastAsia="en-AU"/>
    </w:rPr>
  </w:style>
  <w:style w:type="paragraph" w:styleId="TOCHeading">
    <w:name w:val="TOC Heading"/>
    <w:basedOn w:val="Heading1"/>
    <w:next w:val="Normal"/>
    <w:uiPriority w:val="39"/>
    <w:semiHidden/>
    <w:unhideWhenUsed/>
    <w:qFormat/>
    <w:rsid w:val="00E551D2"/>
    <w:pPr>
      <w:outlineLvl w:val="9"/>
    </w:pPr>
    <w:rPr>
      <w:lang w:val="en-US" w:eastAsia="ja-JP"/>
    </w:rPr>
  </w:style>
  <w:style w:type="paragraph" w:styleId="TOC1">
    <w:name w:val="toc 1"/>
    <w:basedOn w:val="Normal"/>
    <w:next w:val="Normal"/>
    <w:uiPriority w:val="39"/>
    <w:rsid w:val="00F02F08"/>
    <w:pPr>
      <w:keepNext/>
      <w:tabs>
        <w:tab w:val="right" w:leader="dot" w:pos="9072"/>
      </w:tabs>
      <w:spacing w:before="180" w:after="0"/>
      <w:ind w:right="-2"/>
    </w:pPr>
    <w:rPr>
      <w:b/>
      <w:noProof/>
      <w:color w:val="2C384A" w:themeColor="accent1"/>
      <w:szCs w:val="22"/>
    </w:rPr>
  </w:style>
  <w:style w:type="character" w:styleId="Hyperlink">
    <w:name w:val="Hyperlink"/>
    <w:basedOn w:val="DefaultParagraphFont"/>
    <w:uiPriority w:val="99"/>
    <w:rsid w:val="00F02F08"/>
    <w:rPr>
      <w:color w:val="3A6FAF"/>
      <w:u w:val="none"/>
    </w:rPr>
  </w:style>
  <w:style w:type="paragraph" w:styleId="BalloonText">
    <w:name w:val="Balloon Text"/>
    <w:basedOn w:val="Normal"/>
    <w:link w:val="BalloonTextChar"/>
    <w:uiPriority w:val="99"/>
    <w:semiHidden/>
    <w:unhideWhenUsed/>
    <w:rsid w:val="00F02F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08"/>
    <w:rPr>
      <w:rFonts w:ascii="Tahoma" w:eastAsia="Times New Roman" w:hAnsi="Tahoma" w:cs="Tahoma"/>
      <w:sz w:val="16"/>
      <w:szCs w:val="16"/>
      <w:lang w:eastAsia="en-AU"/>
    </w:rPr>
  </w:style>
  <w:style w:type="paragraph" w:customStyle="1" w:styleId="Bullet">
    <w:name w:val="Bullet"/>
    <w:basedOn w:val="Normal"/>
    <w:link w:val="BulletChar"/>
    <w:autoRedefine/>
    <w:qFormat/>
    <w:rsid w:val="006728C2"/>
    <w:pPr>
      <w:numPr>
        <w:numId w:val="41"/>
      </w:numPr>
      <w:tabs>
        <w:tab w:val="left" w:pos="720"/>
      </w:tabs>
      <w:spacing w:before="0" w:line="276" w:lineRule="auto"/>
    </w:pPr>
  </w:style>
  <w:style w:type="character" w:customStyle="1" w:styleId="BulletChar">
    <w:name w:val="Bullet Char"/>
    <w:basedOn w:val="DefaultParagraphFont"/>
    <w:link w:val="Bullet"/>
    <w:rsid w:val="006728C2"/>
    <w:rPr>
      <w:rFonts w:ascii="Calibri Light" w:eastAsia="Times New Roman" w:hAnsi="Calibri Light" w:cs="Times New Roman"/>
      <w:szCs w:val="20"/>
      <w:lang w:eastAsia="en-AU"/>
    </w:rPr>
  </w:style>
  <w:style w:type="paragraph" w:customStyle="1" w:styleId="Dash">
    <w:name w:val="Dash"/>
    <w:basedOn w:val="Normal"/>
    <w:link w:val="DashChar"/>
    <w:qFormat/>
    <w:rsid w:val="006728C2"/>
    <w:pPr>
      <w:numPr>
        <w:ilvl w:val="1"/>
        <w:numId w:val="42"/>
      </w:numPr>
      <w:spacing w:before="0"/>
    </w:pPr>
  </w:style>
  <w:style w:type="character" w:customStyle="1" w:styleId="DashChar">
    <w:name w:val="Dash Char"/>
    <w:basedOn w:val="DefaultParagraphFont"/>
    <w:link w:val="Dash"/>
    <w:rsid w:val="006728C2"/>
    <w:rPr>
      <w:rFonts w:ascii="Calibri Light" w:eastAsia="Times New Roman" w:hAnsi="Calibri Light" w:cs="Times New Roman"/>
      <w:szCs w:val="20"/>
      <w:lang w:eastAsia="en-AU"/>
    </w:rPr>
  </w:style>
  <w:style w:type="paragraph" w:customStyle="1" w:styleId="DoubleDot">
    <w:name w:val="Double Dot"/>
    <w:basedOn w:val="Normal"/>
    <w:link w:val="DoubleDotChar"/>
    <w:qFormat/>
    <w:rsid w:val="006728C2"/>
    <w:pPr>
      <w:numPr>
        <w:ilvl w:val="2"/>
        <w:numId w:val="42"/>
      </w:numPr>
      <w:spacing w:before="0"/>
    </w:pPr>
  </w:style>
  <w:style w:type="character" w:customStyle="1" w:styleId="DoubleDotChar">
    <w:name w:val="Double Dot Char"/>
    <w:basedOn w:val="DefaultParagraphFont"/>
    <w:link w:val="DoubleDot"/>
    <w:rsid w:val="006728C2"/>
    <w:rPr>
      <w:rFonts w:ascii="Calibri Light" w:eastAsia="Times New Roman" w:hAnsi="Calibri Light" w:cs="Times New Roman"/>
      <w:szCs w:val="20"/>
      <w:lang w:eastAsia="en-AU"/>
    </w:rPr>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unhideWhenUsed/>
    <w:rsid w:val="00F02F08"/>
    <w:pPr>
      <w:keepNext/>
      <w:spacing w:before="0" w:after="0"/>
      <w:jc w:val="right"/>
    </w:pPr>
    <w:rPr>
      <w:color w:val="004A7F"/>
      <w:sz w:val="20"/>
    </w:rPr>
  </w:style>
  <w:style w:type="character" w:customStyle="1" w:styleId="HeaderChar">
    <w:name w:val="Header Char"/>
    <w:basedOn w:val="DefaultParagraphFont"/>
    <w:link w:val="Header"/>
    <w:uiPriority w:val="99"/>
    <w:rsid w:val="00F02F08"/>
    <w:rPr>
      <w:rFonts w:ascii="Calibri Light" w:eastAsia="Times New Roman" w:hAnsi="Calibri Light" w:cs="Times New Roman"/>
      <w:color w:val="004A7F"/>
      <w:sz w:val="20"/>
      <w:szCs w:val="20"/>
      <w:lang w:eastAsia="en-AU"/>
    </w:rPr>
  </w:style>
  <w:style w:type="paragraph" w:styleId="Footer">
    <w:name w:val="footer"/>
    <w:basedOn w:val="Normal"/>
    <w:link w:val="FooterChar"/>
    <w:uiPriority w:val="99"/>
    <w:unhideWhenUsed/>
    <w:rsid w:val="00F02F0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02F08"/>
    <w:rPr>
      <w:rFonts w:ascii="Calibri Light" w:eastAsia="Times New Roman" w:hAnsi="Calibri Light" w:cs="Times New Roman"/>
      <w:color w:val="002C47"/>
      <w:sz w:val="20"/>
      <w:szCs w:val="20"/>
      <w:lang w:eastAsia="en-AU"/>
    </w:rPr>
  </w:style>
  <w:style w:type="character" w:customStyle="1" w:styleId="Heading2Char">
    <w:name w:val="Heading 2 Char"/>
    <w:basedOn w:val="DefaultParagraphFont"/>
    <w:link w:val="Heading2"/>
    <w:rsid w:val="00F02F08"/>
    <w:rPr>
      <w:rFonts w:ascii="Calibri" w:eastAsia="Times New Roman" w:hAnsi="Calibri" w:cs="Arial"/>
      <w:iCs/>
      <w:color w:val="2C384A"/>
      <w:kern w:val="32"/>
      <w:sz w:val="36"/>
      <w:szCs w:val="28"/>
      <w:lang w:eastAsia="en-AU"/>
    </w:rPr>
  </w:style>
  <w:style w:type="paragraph" w:styleId="FootnoteText">
    <w:name w:val="footnote text"/>
    <w:basedOn w:val="Normal"/>
    <w:link w:val="FootnoteTextChar"/>
    <w:uiPriority w:val="99"/>
    <w:rsid w:val="00F02F08"/>
    <w:pPr>
      <w:spacing w:before="0" w:after="0"/>
      <w:ind w:left="397" w:hanging="397"/>
    </w:pPr>
    <w:rPr>
      <w:sz w:val="20"/>
    </w:rPr>
  </w:style>
  <w:style w:type="character" w:customStyle="1" w:styleId="Heading3Char">
    <w:name w:val="Heading 3 Char"/>
    <w:basedOn w:val="DefaultParagraphFont"/>
    <w:link w:val="Heading3"/>
    <w:rsid w:val="00F02F08"/>
    <w:rPr>
      <w:rFonts w:ascii="Calibri" w:eastAsia="Times New Roman" w:hAnsi="Calibri" w:cs="Arial"/>
      <w:b/>
      <w:color w:val="4D7861" w:themeColor="accent2"/>
      <w:kern w:val="32"/>
      <w:sz w:val="28"/>
      <w:szCs w:val="26"/>
      <w:lang w:eastAsia="en-AU"/>
    </w:rPr>
  </w:style>
  <w:style w:type="character" w:customStyle="1" w:styleId="FootnoteTextChar">
    <w:name w:val="Footnote Text Char"/>
    <w:basedOn w:val="DefaultParagraphFont"/>
    <w:link w:val="FootnoteText"/>
    <w:uiPriority w:val="99"/>
    <w:rsid w:val="00F02F08"/>
    <w:rPr>
      <w:rFonts w:ascii="Calibri Light" w:eastAsia="Times New Roman" w:hAnsi="Calibri Light" w:cs="Times New Roman"/>
      <w:sz w:val="20"/>
      <w:szCs w:val="20"/>
      <w:lang w:eastAsia="en-AU"/>
    </w:rPr>
  </w:style>
  <w:style w:type="paragraph" w:styleId="Subtitle">
    <w:name w:val="Subtitle"/>
    <w:basedOn w:val="Normal"/>
    <w:next w:val="Normal"/>
    <w:link w:val="SubtitleChar"/>
    <w:uiPriority w:val="11"/>
    <w:rsid w:val="00F02F08"/>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F02F08"/>
    <w:rPr>
      <w:rFonts w:ascii="Calibri Light" w:eastAsiaTheme="majorEastAsia" w:hAnsi="Calibri Light" w:cstheme="majorBidi"/>
      <w:iCs/>
      <w:color w:val="EEEEEE"/>
      <w:sz w:val="44"/>
      <w:szCs w:val="44"/>
      <w:lang w:eastAsia="en-AU"/>
    </w:rPr>
  </w:style>
  <w:style w:type="paragraph" w:styleId="TOC2">
    <w:name w:val="toc 2"/>
    <w:basedOn w:val="Normal"/>
    <w:next w:val="Normal"/>
    <w:uiPriority w:val="39"/>
    <w:rsid w:val="00F02F08"/>
    <w:pPr>
      <w:keepNext/>
      <w:tabs>
        <w:tab w:val="right" w:leader="dot" w:pos="9072"/>
      </w:tabs>
      <w:spacing w:before="40" w:after="20"/>
      <w:ind w:right="-2"/>
    </w:pPr>
    <w:rPr>
      <w:noProof/>
      <w:color w:val="5D779D" w:themeColor="accent3"/>
    </w:rPr>
  </w:style>
  <w:style w:type="paragraph" w:customStyle="1" w:styleId="AlphaParagraph">
    <w:name w:val="Alpha Paragraph"/>
    <w:basedOn w:val="Normal"/>
    <w:qFormat/>
    <w:rsid w:val="00F02F08"/>
    <w:pPr>
      <w:numPr>
        <w:ilvl w:val="1"/>
        <w:numId w:val="22"/>
      </w:numPr>
      <w:spacing w:before="0"/>
    </w:pPr>
  </w:style>
  <w:style w:type="paragraph" w:customStyle="1" w:styleId="HeadingBase">
    <w:name w:val="Heading Base"/>
    <w:rsid w:val="00F02F08"/>
    <w:pPr>
      <w:keepNext/>
      <w:spacing w:after="120" w:line="240" w:lineRule="auto"/>
    </w:pPr>
    <w:rPr>
      <w:rFonts w:ascii="Calibri" w:eastAsia="Times New Roman" w:hAnsi="Calibri" w:cs="Arial"/>
      <w:bCs/>
      <w:color w:val="002C4A"/>
      <w:kern w:val="32"/>
      <w:sz w:val="48"/>
      <w:szCs w:val="36"/>
      <w:lang w:eastAsia="en-AU"/>
    </w:rPr>
  </w:style>
  <w:style w:type="paragraph" w:customStyle="1" w:styleId="AppendixHeading">
    <w:name w:val="Appendix Heading"/>
    <w:basedOn w:val="Heading1"/>
    <w:next w:val="Normal"/>
    <w:rsid w:val="00F02F08"/>
  </w:style>
  <w:style w:type="paragraph" w:customStyle="1" w:styleId="Boxbullet">
    <w:name w:val="Box bullet"/>
    <w:basedOn w:val="Bullet"/>
    <w:rsid w:val="00F02F08"/>
    <w:pPr>
      <w:tabs>
        <w:tab w:val="num" w:pos="284"/>
      </w:tabs>
      <w:spacing w:before="60"/>
      <w:ind w:left="170" w:hanging="170"/>
    </w:pPr>
    <w:rPr>
      <w:color w:val="0D0D0D" w:themeColor="text1" w:themeTint="F2"/>
    </w:rPr>
  </w:style>
  <w:style w:type="numbering" w:customStyle="1" w:styleId="BoxBulletedList">
    <w:name w:val="Box Bulleted List"/>
    <w:uiPriority w:val="99"/>
    <w:rsid w:val="00F02F08"/>
    <w:pPr>
      <w:numPr>
        <w:numId w:val="6"/>
      </w:numPr>
    </w:pPr>
  </w:style>
  <w:style w:type="paragraph" w:customStyle="1" w:styleId="Boxdash">
    <w:name w:val="Box dash"/>
    <w:basedOn w:val="Dash"/>
    <w:rsid w:val="00F02F08"/>
    <w:pPr>
      <w:tabs>
        <w:tab w:val="clear" w:pos="567"/>
        <w:tab w:val="num" w:pos="1040"/>
      </w:tabs>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rsid w:val="00F02F08"/>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paragraph" w:customStyle="1" w:styleId="BoxHeading">
    <w:name w:val="Box Heading"/>
    <w:basedOn w:val="Normal"/>
    <w:next w:val="Normal"/>
    <w:rsid w:val="00F02F08"/>
    <w:pPr>
      <w:keepNext/>
      <w:spacing w:before="240"/>
    </w:pPr>
    <w:rPr>
      <w:b/>
      <w:color w:val="2C384A" w:themeColor="accent1"/>
      <w:sz w:val="26"/>
      <w:szCs w:val="26"/>
    </w:rPr>
  </w:style>
  <w:style w:type="paragraph" w:customStyle="1" w:styleId="BoxText">
    <w:name w:val="Box Text"/>
    <w:basedOn w:val="Normal"/>
    <w:link w:val="BoxTextChar"/>
    <w:rsid w:val="00F02F08"/>
  </w:style>
  <w:style w:type="character" w:customStyle="1" w:styleId="BoxTextChar">
    <w:name w:val="Box Text Char"/>
    <w:basedOn w:val="DefaultParagraphFont"/>
    <w:link w:val="BoxText"/>
    <w:locked/>
    <w:rsid w:val="00F02F08"/>
    <w:rPr>
      <w:rFonts w:ascii="Calibri Light" w:eastAsia="Times New Roman" w:hAnsi="Calibri Light" w:cs="Times New Roman"/>
      <w:szCs w:val="20"/>
      <w:lang w:eastAsia="en-AU"/>
    </w:rPr>
  </w:style>
  <w:style w:type="numbering" w:customStyle="1" w:styleId="BulletedList">
    <w:name w:val="Bulleted List"/>
    <w:uiPriority w:val="99"/>
    <w:rsid w:val="00F02F08"/>
    <w:pPr>
      <w:numPr>
        <w:numId w:val="7"/>
      </w:numPr>
    </w:pPr>
  </w:style>
  <w:style w:type="paragraph" w:customStyle="1" w:styleId="ChartandTableFootnoteAlpha">
    <w:name w:val="Chart and Table Footnote Alpha"/>
    <w:rsid w:val="00F02F08"/>
    <w:pPr>
      <w:numPr>
        <w:numId w:val="32"/>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F02F08"/>
    <w:pPr>
      <w:keepNext/>
      <w:spacing w:before="0" w:after="0"/>
      <w:jc w:val="center"/>
    </w:pPr>
    <w:rPr>
      <w:color w:val="004A7F"/>
      <w:sz w:val="20"/>
    </w:rPr>
  </w:style>
  <w:style w:type="paragraph" w:customStyle="1" w:styleId="TableMainHeading">
    <w:name w:val="Table Main Heading"/>
    <w:basedOn w:val="Heading3"/>
    <w:next w:val="Normal"/>
    <w:rsid w:val="00F02F08"/>
    <w:pPr>
      <w:spacing w:before="120"/>
    </w:pPr>
    <w:rPr>
      <w:b w:val="0"/>
      <w:sz w:val="26"/>
    </w:rPr>
  </w:style>
  <w:style w:type="paragraph" w:customStyle="1" w:styleId="ChartMainHeading">
    <w:name w:val="Chart Main Heading"/>
    <w:basedOn w:val="TableMainHeading"/>
    <w:next w:val="ChartGraphic"/>
    <w:rsid w:val="00F02F08"/>
    <w:pPr>
      <w:jc w:val="center"/>
    </w:pPr>
  </w:style>
  <w:style w:type="paragraph" w:customStyle="1" w:styleId="ChartorTableNote">
    <w:name w:val="Chart or Table Note"/>
    <w:next w:val="Normal"/>
    <w:rsid w:val="00F02F08"/>
    <w:pPr>
      <w:spacing w:after="0" w:line="240" w:lineRule="auto"/>
      <w:jc w:val="both"/>
    </w:pPr>
    <w:rPr>
      <w:rFonts w:ascii="Calibri" w:eastAsia="Times New Roman" w:hAnsi="Calibri" w:cs="Times New Roman"/>
      <w:color w:val="000000"/>
      <w:sz w:val="18"/>
      <w:szCs w:val="20"/>
      <w:lang w:eastAsia="en-AU"/>
    </w:rPr>
  </w:style>
  <w:style w:type="paragraph" w:customStyle="1" w:styleId="TableSecondHeading">
    <w:name w:val="Table Second Heading"/>
    <w:basedOn w:val="Normal"/>
    <w:next w:val="Normal"/>
    <w:rsid w:val="00F02F08"/>
    <w:pPr>
      <w:keepNext/>
      <w:spacing w:before="0" w:after="20"/>
    </w:pPr>
    <w:rPr>
      <w:b/>
      <w:color w:val="004A7F"/>
    </w:rPr>
  </w:style>
  <w:style w:type="paragraph" w:customStyle="1" w:styleId="ChartSecondHeading">
    <w:name w:val="Chart Second Heading"/>
    <w:basedOn w:val="TableSecondHeading"/>
    <w:next w:val="ChartGraphic"/>
    <w:rsid w:val="00F02F08"/>
    <w:pPr>
      <w:jc w:val="center"/>
    </w:pPr>
    <w:rPr>
      <w:b w:val="0"/>
      <w:bCs/>
    </w:rPr>
  </w:style>
  <w:style w:type="numbering" w:customStyle="1" w:styleId="ChartandTableFootnoteAlphaList">
    <w:name w:val="ChartandTableFootnoteAlphaList"/>
    <w:uiPriority w:val="99"/>
    <w:rsid w:val="00F02F08"/>
    <w:pPr>
      <w:numPr>
        <w:numId w:val="13"/>
      </w:numPr>
    </w:pPr>
  </w:style>
  <w:style w:type="character" w:styleId="CommentReference">
    <w:name w:val="annotation reference"/>
    <w:basedOn w:val="DefaultParagraphFont"/>
    <w:uiPriority w:val="99"/>
    <w:semiHidden/>
    <w:unhideWhenUsed/>
    <w:rsid w:val="00F02F08"/>
    <w:rPr>
      <w:sz w:val="16"/>
      <w:szCs w:val="16"/>
    </w:rPr>
  </w:style>
  <w:style w:type="paragraph" w:styleId="CommentText">
    <w:name w:val="annotation text"/>
    <w:basedOn w:val="Normal"/>
    <w:link w:val="CommentTextChar"/>
    <w:uiPriority w:val="99"/>
    <w:unhideWhenUsed/>
    <w:rsid w:val="00F02F08"/>
    <w:rPr>
      <w:rFonts w:ascii="Calibri" w:hAnsi="Calibri"/>
      <w:sz w:val="20"/>
    </w:rPr>
  </w:style>
  <w:style w:type="character" w:customStyle="1" w:styleId="CommentTextChar">
    <w:name w:val="Comment Text Char"/>
    <w:basedOn w:val="DefaultParagraphFont"/>
    <w:link w:val="CommentText"/>
    <w:uiPriority w:val="99"/>
    <w:rsid w:val="00F02F08"/>
    <w:rPr>
      <w:rFonts w:ascii="Calibri" w:eastAsia="Times New Roman" w:hAnsi="Calibri" w:cs="Times New Roman"/>
      <w:sz w:val="20"/>
      <w:szCs w:val="20"/>
      <w:lang w:eastAsia="en-AU"/>
    </w:rPr>
  </w:style>
  <w:style w:type="paragraph" w:customStyle="1" w:styleId="FooterEven">
    <w:name w:val="Footer Even"/>
    <w:basedOn w:val="Footer"/>
    <w:rsid w:val="00F02F08"/>
    <w:pPr>
      <w:keepNext/>
      <w:tabs>
        <w:tab w:val="clear" w:pos="4513"/>
        <w:tab w:val="clear" w:pos="9026"/>
      </w:tabs>
      <w:jc w:val="left"/>
    </w:pPr>
    <w:rPr>
      <w:noProof/>
      <w:color w:val="2C384A" w:themeColor="accent1"/>
    </w:rPr>
  </w:style>
  <w:style w:type="paragraph" w:customStyle="1" w:styleId="FooterOdd">
    <w:name w:val="Footer Odd"/>
    <w:basedOn w:val="Footer"/>
    <w:rsid w:val="00F02F08"/>
    <w:pPr>
      <w:keepNext/>
      <w:tabs>
        <w:tab w:val="clear" w:pos="4513"/>
        <w:tab w:val="clear" w:pos="9026"/>
      </w:tabs>
      <w:jc w:val="right"/>
    </w:pPr>
    <w:rPr>
      <w:color w:val="2C384A" w:themeColor="accent1"/>
    </w:rPr>
  </w:style>
  <w:style w:type="character" w:styleId="FootnoteReference">
    <w:name w:val="footnote reference"/>
    <w:basedOn w:val="DefaultParagraphFont"/>
    <w:uiPriority w:val="99"/>
    <w:rsid w:val="00F02F08"/>
    <w:rPr>
      <w:sz w:val="18"/>
    </w:rPr>
  </w:style>
  <w:style w:type="paragraph" w:customStyle="1" w:styleId="HeaderEven">
    <w:name w:val="Header Even"/>
    <w:basedOn w:val="Header"/>
    <w:qFormat/>
    <w:rsid w:val="00F02F08"/>
    <w:pPr>
      <w:jc w:val="left"/>
    </w:pPr>
    <w:rPr>
      <w:color w:val="002C47"/>
    </w:rPr>
  </w:style>
  <w:style w:type="paragraph" w:customStyle="1" w:styleId="HeaderOdd">
    <w:name w:val="Header Odd"/>
    <w:basedOn w:val="Header"/>
    <w:qFormat/>
    <w:rsid w:val="00F02F08"/>
    <w:rPr>
      <w:color w:val="002C47"/>
    </w:rPr>
  </w:style>
  <w:style w:type="paragraph" w:customStyle="1" w:styleId="Heading1Numbered">
    <w:name w:val="Heading 1 Numbered"/>
    <w:basedOn w:val="Heading1"/>
    <w:next w:val="Normal"/>
    <w:rsid w:val="00F02F08"/>
    <w:pPr>
      <w:numPr>
        <w:numId w:val="35"/>
      </w:numPr>
    </w:pPr>
  </w:style>
  <w:style w:type="paragraph" w:customStyle="1" w:styleId="Heading2Numbered">
    <w:name w:val="Heading 2 Numbered"/>
    <w:basedOn w:val="Heading2"/>
    <w:next w:val="Normal"/>
    <w:rsid w:val="00F02F08"/>
    <w:pPr>
      <w:numPr>
        <w:ilvl w:val="1"/>
        <w:numId w:val="35"/>
      </w:numPr>
    </w:pPr>
  </w:style>
  <w:style w:type="paragraph" w:customStyle="1" w:styleId="Heading3Numbered">
    <w:name w:val="Heading 3 Numbered"/>
    <w:basedOn w:val="Heading3"/>
    <w:rsid w:val="00F02F08"/>
    <w:pPr>
      <w:numPr>
        <w:ilvl w:val="2"/>
        <w:numId w:val="35"/>
      </w:numPr>
    </w:pPr>
  </w:style>
  <w:style w:type="character" w:customStyle="1" w:styleId="Heading4Char">
    <w:name w:val="Heading 4 Char"/>
    <w:basedOn w:val="DefaultParagraphFont"/>
    <w:link w:val="Heading4"/>
    <w:rsid w:val="00F02F08"/>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F02F0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F02F08"/>
    <w:rPr>
      <w:rFonts w:ascii="Calibri Light" w:eastAsia="Times New Roman" w:hAnsi="Calibri Light" w:cs="Arial"/>
      <w:color w:val="000000" w:themeColor="text1"/>
      <w:kern w:val="32"/>
      <w:lang w:eastAsia="en-AU"/>
    </w:rPr>
  </w:style>
  <w:style w:type="paragraph" w:customStyle="1" w:styleId="Instructions">
    <w:name w:val="Instructions"/>
    <w:basedOn w:val="Normal"/>
    <w:uiPriority w:val="1"/>
    <w:qFormat/>
    <w:rsid w:val="00F02F08"/>
    <w:pPr>
      <w:shd w:val="clear" w:color="auto" w:fill="FFFF00"/>
      <w:ind w:left="170" w:hanging="170"/>
    </w:pPr>
    <w:rPr>
      <w:rFonts w:asciiTheme="minorHAnsi" w:hAnsiTheme="minorHAnsi"/>
      <w:sz w:val="20"/>
      <w:szCs w:val="24"/>
    </w:rPr>
  </w:style>
  <w:style w:type="paragraph" w:styleId="ListParagraph">
    <w:name w:val="List Paragraph"/>
    <w:basedOn w:val="Normal"/>
    <w:uiPriority w:val="34"/>
    <w:qFormat/>
    <w:rsid w:val="00F02F08"/>
    <w:pPr>
      <w:ind w:left="720"/>
      <w:contextualSpacing/>
    </w:pPr>
  </w:style>
  <w:style w:type="paragraph" w:customStyle="1" w:styleId="NotesHeading">
    <w:name w:val="Notes Heading"/>
    <w:basedOn w:val="Normal"/>
    <w:rsid w:val="00F02F08"/>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F02F08"/>
    <w:pPr>
      <w:numPr>
        <w:numId w:val="17"/>
      </w:numPr>
    </w:pPr>
  </w:style>
  <w:style w:type="paragraph" w:customStyle="1" w:styleId="OutlineNumbered1">
    <w:name w:val="Outline Numbered 1"/>
    <w:basedOn w:val="Normal"/>
    <w:link w:val="OutlineNumbered1Char"/>
    <w:rsid w:val="00F02F08"/>
    <w:pPr>
      <w:numPr>
        <w:numId w:val="18"/>
      </w:numPr>
      <w:spacing w:before="0"/>
    </w:pPr>
  </w:style>
  <w:style w:type="paragraph" w:customStyle="1" w:styleId="OutlineNumbered2">
    <w:name w:val="Outline Numbered 2"/>
    <w:basedOn w:val="Normal"/>
    <w:rsid w:val="00F02F08"/>
    <w:pPr>
      <w:numPr>
        <w:ilvl w:val="1"/>
        <w:numId w:val="18"/>
      </w:numPr>
      <w:spacing w:before="0"/>
    </w:pPr>
  </w:style>
  <w:style w:type="paragraph" w:customStyle="1" w:styleId="OutlineNumbered3">
    <w:name w:val="Outline Numbered 3"/>
    <w:basedOn w:val="Normal"/>
    <w:rsid w:val="00F02F08"/>
    <w:pPr>
      <w:numPr>
        <w:ilvl w:val="2"/>
        <w:numId w:val="18"/>
      </w:numPr>
      <w:spacing w:before="0"/>
    </w:pPr>
  </w:style>
  <w:style w:type="numbering" w:customStyle="1" w:styleId="OutlineList">
    <w:name w:val="OutlineList"/>
    <w:uiPriority w:val="99"/>
    <w:rsid w:val="00F02F08"/>
    <w:pPr>
      <w:numPr>
        <w:numId w:val="21"/>
      </w:numPr>
    </w:pPr>
  </w:style>
  <w:style w:type="character" w:styleId="PlaceholderText">
    <w:name w:val="Placeholder Text"/>
    <w:basedOn w:val="DefaultParagraphFont"/>
    <w:uiPriority w:val="99"/>
    <w:semiHidden/>
    <w:rsid w:val="00F02F08"/>
    <w:rPr>
      <w:color w:val="808080"/>
    </w:rPr>
  </w:style>
  <w:style w:type="paragraph" w:customStyle="1" w:styleId="ReportDate">
    <w:name w:val="Report Date"/>
    <w:basedOn w:val="Normal"/>
    <w:link w:val="ReportDateChar"/>
    <w:rsid w:val="00AA5110"/>
    <w:pPr>
      <w:keepNext/>
      <w:spacing w:before="0" w:after="360"/>
    </w:pPr>
    <w:rPr>
      <w:color w:val="2C384A" w:themeColor="accent1"/>
      <w:sz w:val="32"/>
    </w:rPr>
  </w:style>
  <w:style w:type="character" w:customStyle="1" w:styleId="ReportDateChar">
    <w:name w:val="Report Date Char"/>
    <w:basedOn w:val="DefaultParagraphFont"/>
    <w:link w:val="ReportDate"/>
    <w:rsid w:val="00AA5110"/>
    <w:rPr>
      <w:rFonts w:ascii="Calibri Light" w:eastAsia="Times New Roman" w:hAnsi="Calibri Light" w:cs="Times New Roman"/>
      <w:color w:val="2C384A" w:themeColor="accent1"/>
      <w:sz w:val="32"/>
      <w:szCs w:val="20"/>
      <w:lang w:eastAsia="en-AU"/>
    </w:rPr>
  </w:style>
  <w:style w:type="paragraph" w:customStyle="1" w:styleId="SingleParagraph0">
    <w:name w:val="Single Paragraph"/>
    <w:basedOn w:val="Normal"/>
    <w:link w:val="SingleParagraphChar"/>
    <w:rsid w:val="00F02F08"/>
    <w:pPr>
      <w:spacing w:before="0" w:after="0"/>
    </w:pPr>
  </w:style>
  <w:style w:type="character" w:customStyle="1" w:styleId="SingleParagraphChar">
    <w:name w:val="Single Paragraph Char"/>
    <w:basedOn w:val="DefaultParagraphFont"/>
    <w:link w:val="SingleParagraph0"/>
    <w:rsid w:val="00F02F08"/>
    <w:rPr>
      <w:rFonts w:ascii="Calibri Light" w:eastAsia="Times New Roman" w:hAnsi="Calibri Light" w:cs="Times New Roman"/>
      <w:szCs w:val="20"/>
      <w:lang w:eastAsia="en-AU"/>
    </w:rPr>
  </w:style>
  <w:style w:type="paragraph" w:customStyle="1" w:styleId="TableTextRight">
    <w:name w:val="Table Text Right"/>
    <w:basedOn w:val="Normal"/>
    <w:rsid w:val="00F02F08"/>
    <w:pPr>
      <w:spacing w:before="40" w:after="40"/>
      <w:jc w:val="right"/>
    </w:pPr>
    <w:rPr>
      <w:color w:val="000000"/>
      <w:sz w:val="18"/>
    </w:rPr>
  </w:style>
  <w:style w:type="paragraph" w:customStyle="1" w:styleId="TableTextLeft">
    <w:name w:val="Table Text Left"/>
    <w:basedOn w:val="TableTextRight"/>
    <w:rsid w:val="00F02F08"/>
    <w:pPr>
      <w:jc w:val="left"/>
    </w:pPr>
  </w:style>
  <w:style w:type="paragraph" w:customStyle="1" w:styleId="TableColumnHeadingCentred">
    <w:name w:val="Table Column Heading Centred"/>
    <w:basedOn w:val="TableTextLeft"/>
    <w:rsid w:val="00F02F08"/>
    <w:pPr>
      <w:jc w:val="center"/>
    </w:pPr>
    <w:rPr>
      <w:b/>
      <w:color w:val="2C384A" w:themeColor="accent1"/>
      <w:sz w:val="20"/>
    </w:rPr>
  </w:style>
  <w:style w:type="paragraph" w:customStyle="1" w:styleId="TableColumnHeadingLeft">
    <w:name w:val="Table Column Heading Left"/>
    <w:basedOn w:val="TableTextLeft"/>
    <w:rsid w:val="00F02F08"/>
    <w:rPr>
      <w:b/>
      <w:color w:val="2C384A" w:themeColor="accent1"/>
      <w:sz w:val="20"/>
    </w:rPr>
  </w:style>
  <w:style w:type="paragraph" w:customStyle="1" w:styleId="TableColumnHeadingRight">
    <w:name w:val="Table Column Heading Right"/>
    <w:basedOn w:val="TableTextLeft"/>
    <w:rsid w:val="00F02F08"/>
    <w:pPr>
      <w:jc w:val="right"/>
    </w:pPr>
    <w:rPr>
      <w:b/>
      <w:color w:val="2C384A" w:themeColor="accent1"/>
      <w:sz w:val="20"/>
    </w:rPr>
  </w:style>
  <w:style w:type="paragraph" w:customStyle="1" w:styleId="TableGraphic">
    <w:name w:val="Table Graphic"/>
    <w:basedOn w:val="HeadingBase"/>
    <w:next w:val="Normal"/>
    <w:rsid w:val="00F02F08"/>
    <w:pPr>
      <w:spacing w:after="0"/>
    </w:pPr>
  </w:style>
  <w:style w:type="table" w:styleId="TableGrid">
    <w:name w:val="Table Grid"/>
    <w:basedOn w:val="TableNormal"/>
    <w:rsid w:val="00F02F08"/>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HeadingContinued">
    <w:name w:val="Table Heading Continued"/>
    <w:basedOn w:val="TableMainHeading"/>
    <w:next w:val="TableGraphic"/>
    <w:rsid w:val="00F02F08"/>
  </w:style>
  <w:style w:type="paragraph" w:customStyle="1" w:styleId="TableTextCentered">
    <w:name w:val="Table Text Centered"/>
    <w:basedOn w:val="TableTextRight"/>
    <w:rsid w:val="00F02F08"/>
    <w:pPr>
      <w:jc w:val="center"/>
    </w:pPr>
  </w:style>
  <w:style w:type="paragraph" w:customStyle="1" w:styleId="TableTextIndented">
    <w:name w:val="Table Text Indented"/>
    <w:basedOn w:val="TableTextLeft"/>
    <w:rsid w:val="00F02F08"/>
    <w:pPr>
      <w:ind w:left="284"/>
    </w:pPr>
  </w:style>
  <w:style w:type="paragraph" w:styleId="TOC3">
    <w:name w:val="toc 3"/>
    <w:basedOn w:val="Normal"/>
    <w:next w:val="Normal"/>
    <w:uiPriority w:val="39"/>
    <w:rsid w:val="00F02F08"/>
    <w:pPr>
      <w:tabs>
        <w:tab w:val="right" w:leader="dot" w:pos="9072"/>
      </w:tabs>
      <w:spacing w:before="20" w:after="0"/>
      <w:ind w:left="284" w:right="-2"/>
    </w:pPr>
    <w:rPr>
      <w:rFonts w:cs="Calibri"/>
      <w:noProof/>
    </w:rPr>
  </w:style>
  <w:style w:type="paragraph" w:customStyle="1" w:styleId="CoverDate">
    <w:name w:val="Cover Date"/>
    <w:basedOn w:val="Normal"/>
    <w:rsid w:val="00C725DE"/>
    <w:pPr>
      <w:keepNext/>
      <w:spacing w:before="840" w:after="0"/>
      <w:jc w:val="right"/>
    </w:pPr>
    <w:rPr>
      <w:color w:val="2C384A" w:themeColor="accent1"/>
      <w:sz w:val="28"/>
    </w:rPr>
  </w:style>
  <w:style w:type="paragraph" w:customStyle="1" w:styleId="CoverTitleMain">
    <w:name w:val="Cover Title Main"/>
    <w:basedOn w:val="Normal"/>
    <w:next w:val="Normal"/>
    <w:autoRedefine/>
    <w:qFormat/>
    <w:rsid w:val="009643E4"/>
    <w:pPr>
      <w:keepNext/>
      <w:spacing w:before="3360" w:after="720" w:line="300" w:lineRule="auto"/>
      <w:jc w:val="right"/>
    </w:pPr>
    <w:rPr>
      <w:rFonts w:ascii="Calibri" w:hAnsi="Calibri"/>
      <w:color w:val="2C384A" w:themeColor="accent1"/>
      <w:sz w:val="56"/>
      <w:szCs w:val="40"/>
    </w:rPr>
  </w:style>
  <w:style w:type="paragraph" w:customStyle="1" w:styleId="CoverTitleSub">
    <w:name w:val="Cover Title Sub"/>
    <w:basedOn w:val="Normal"/>
    <w:rsid w:val="00647528"/>
    <w:pPr>
      <w:keepNext/>
      <w:jc w:val="right"/>
    </w:pPr>
    <w:rPr>
      <w:rFonts w:ascii="Calibri" w:hAnsi="Calibri"/>
      <w:color w:val="2C384A" w:themeColor="accent1"/>
      <w:sz w:val="40"/>
    </w:rPr>
  </w:style>
  <w:style w:type="character" w:styleId="FollowedHyperlink">
    <w:name w:val="FollowedHyperlink"/>
    <w:basedOn w:val="DefaultParagraphFont"/>
    <w:uiPriority w:val="99"/>
    <w:semiHidden/>
    <w:unhideWhenUsed/>
    <w:rsid w:val="00E02B6D"/>
    <w:rPr>
      <w:color w:val="844D9E" w:themeColor="followedHyperlink"/>
      <w:u w:val="single"/>
    </w:rPr>
  </w:style>
  <w:style w:type="character" w:customStyle="1" w:styleId="UnresolvedMention">
    <w:name w:val="Unresolved Mention"/>
    <w:basedOn w:val="DefaultParagraphFont"/>
    <w:uiPriority w:val="99"/>
    <w:semiHidden/>
    <w:unhideWhenUsed/>
    <w:rsid w:val="006351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02F1"/>
    <w:rPr>
      <w:rFonts w:ascii="Calibri Light" w:hAnsi="Calibri Light"/>
      <w:b/>
      <w:bCs/>
    </w:rPr>
  </w:style>
  <w:style w:type="character" w:customStyle="1" w:styleId="CommentSubjectChar">
    <w:name w:val="Comment Subject Char"/>
    <w:basedOn w:val="CommentTextChar"/>
    <w:link w:val="CommentSubject"/>
    <w:uiPriority w:val="99"/>
    <w:semiHidden/>
    <w:rsid w:val="00C102F1"/>
    <w:rPr>
      <w:rFonts w:ascii="Calibri Light" w:eastAsia="Times New Roman" w:hAnsi="Calibri Light" w:cs="Times New Roman"/>
      <w:b/>
      <w:bCs/>
      <w:sz w:val="20"/>
      <w:szCs w:val="20"/>
      <w:lang w:eastAsia="en-AU"/>
    </w:rPr>
  </w:style>
  <w:style w:type="character" w:customStyle="1" w:styleId="OutlineNumbered1Char">
    <w:name w:val="Outline Numbered 1 Char"/>
    <w:basedOn w:val="DefaultParagraphFont"/>
    <w:link w:val="OutlineNumbered1"/>
    <w:rsid w:val="00BF123E"/>
    <w:rPr>
      <w:rFonts w:ascii="Calibri Light" w:eastAsia="Times New Roman" w:hAnsi="Calibri Light" w:cs="Times New Roman"/>
      <w:szCs w:val="20"/>
      <w:lang w:eastAsia="en-AU"/>
    </w:rPr>
  </w:style>
  <w:style w:type="paragraph" w:customStyle="1" w:styleId="TableBullet">
    <w:name w:val="Table Bullet"/>
    <w:basedOn w:val="ListParagraph"/>
    <w:uiPriority w:val="11"/>
    <w:qFormat/>
    <w:rsid w:val="009571EB"/>
    <w:pPr>
      <w:numPr>
        <w:numId w:val="45"/>
      </w:numPr>
      <w:tabs>
        <w:tab w:val="num" w:pos="360"/>
      </w:tabs>
      <w:spacing w:before="40" w:after="40"/>
      <w:ind w:left="720" w:firstLine="0"/>
      <w:contextualSpacing w:val="0"/>
    </w:pPr>
    <w:rPr>
      <w:rFonts w:asciiTheme="minorHAnsi" w:eastAsiaTheme="minorHAnsi" w:hAnsiTheme="minorHAnsi" w:cstheme="minorBidi"/>
      <w:sz w:val="18"/>
      <w:lang w:eastAsia="en-US"/>
    </w:rPr>
  </w:style>
  <w:style w:type="paragraph" w:customStyle="1" w:styleId="TableBody">
    <w:name w:val="Table Body"/>
    <w:basedOn w:val="Normal"/>
    <w:uiPriority w:val="11"/>
    <w:qFormat/>
    <w:rsid w:val="009571EB"/>
    <w:pPr>
      <w:spacing w:before="40" w:after="40" w:line="264" w:lineRule="auto"/>
    </w:pPr>
    <w:rPr>
      <w:rFonts w:asciiTheme="minorHAnsi" w:eastAsiaTheme="minorHAnsi" w:hAnsiTheme="minorHAnsi" w:cstheme="minorBidi"/>
      <w:color w:val="000000" w:themeColor="text1"/>
      <w:sz w:val="18"/>
      <w:lang w:eastAsia="en-US"/>
    </w:rPr>
  </w:style>
  <w:style w:type="paragraph" w:customStyle="1" w:styleId="TableNumbering">
    <w:name w:val="Table Numbering"/>
    <w:uiPriority w:val="11"/>
    <w:qFormat/>
    <w:rsid w:val="009571EB"/>
    <w:pPr>
      <w:numPr>
        <w:numId w:val="46"/>
      </w:numPr>
      <w:spacing w:before="40" w:after="40" w:line="264" w:lineRule="auto"/>
    </w:pPr>
    <w:rPr>
      <w:color w:val="000000" w:themeColor="text1"/>
      <w:sz w:val="18"/>
      <w:szCs w:val="20"/>
    </w:rPr>
  </w:style>
  <w:style w:type="paragraph" w:styleId="Caption">
    <w:name w:val="caption"/>
    <w:basedOn w:val="Normal"/>
    <w:next w:val="Normal"/>
    <w:uiPriority w:val="35"/>
    <w:unhideWhenUsed/>
    <w:qFormat/>
    <w:rsid w:val="009571EB"/>
    <w:pPr>
      <w:keepNext/>
      <w:tabs>
        <w:tab w:val="left" w:pos="851"/>
        <w:tab w:val="left" w:pos="1017"/>
      </w:tabs>
      <w:spacing w:line="264" w:lineRule="auto"/>
      <w:ind w:left="851" w:hanging="851"/>
    </w:pPr>
    <w:rPr>
      <w:rFonts w:asciiTheme="majorHAnsi" w:eastAsiaTheme="minorHAnsi" w:hAnsiTheme="majorHAnsi" w:cstheme="minorBidi"/>
      <w:b/>
      <w:iCs/>
      <w:color w:val="5F5F5F" w:themeColor="text2"/>
      <w:szCs w:val="18"/>
      <w:lang w:eastAsia="en-US"/>
    </w:rPr>
  </w:style>
  <w:style w:type="table" w:customStyle="1" w:styleId="PMCDefaultTableStyle">
    <w:name w:val="PMC Default Table Style"/>
    <w:basedOn w:val="TableNormal"/>
    <w:uiPriority w:val="99"/>
    <w:rsid w:val="009571EB"/>
    <w:pPr>
      <w:spacing w:before="60" w:after="60" w:line="264" w:lineRule="auto"/>
    </w:pPr>
    <w:rPr>
      <w:color w:val="262626" w:themeColor="text1" w:themeTint="D9"/>
      <w:sz w:val="18"/>
      <w:szCs w:val="20"/>
    </w:rPr>
    <w:tblPr>
      <w:tblStyleRowBandSize w:val="1"/>
      <w:tblBorders>
        <w:bottom w:val="single" w:sz="18" w:space="0" w:color="EEEEEE" w:themeColor="background2"/>
        <w:insideH w:val="single" w:sz="4" w:space="0" w:color="EEEEEE"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EEE"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BodyText">
    <w:name w:val="Body Text"/>
    <w:basedOn w:val="Normal"/>
    <w:link w:val="BodyTextChar"/>
    <w:qFormat/>
    <w:rsid w:val="009571EB"/>
    <w:pPr>
      <w:spacing w:before="0" w:line="264" w:lineRule="auto"/>
    </w:pPr>
    <w:rPr>
      <w:rFonts w:asciiTheme="minorHAnsi" w:eastAsiaTheme="minorHAnsi" w:hAnsiTheme="minorHAnsi" w:cstheme="minorBidi"/>
      <w:lang w:eastAsia="en-US"/>
    </w:rPr>
  </w:style>
  <w:style w:type="character" w:customStyle="1" w:styleId="BodyTextChar">
    <w:name w:val="Body Text Char"/>
    <w:basedOn w:val="DefaultParagraphFont"/>
    <w:link w:val="BodyText"/>
    <w:rsid w:val="009571EB"/>
    <w:rPr>
      <w:szCs w:val="20"/>
    </w:rPr>
  </w:style>
  <w:style w:type="paragraph" w:customStyle="1" w:styleId="TableHeading">
    <w:name w:val="Table Heading"/>
    <w:basedOn w:val="Normal"/>
    <w:uiPriority w:val="11"/>
    <w:qFormat/>
    <w:rsid w:val="009571EB"/>
    <w:pPr>
      <w:spacing w:before="0" w:line="264" w:lineRule="auto"/>
    </w:pPr>
    <w:rPr>
      <w:rFonts w:asciiTheme="majorHAnsi" w:eastAsiaTheme="minorHAnsi" w:hAnsiTheme="majorHAnsi" w:cstheme="minorBidi"/>
      <w:bCs/>
      <w:color w:val="FFFFFF" w:themeColor="background1"/>
      <w:sz w:val="18"/>
      <w:lang w:eastAsia="en-US"/>
    </w:rPr>
  </w:style>
  <w:style w:type="table" w:customStyle="1" w:styleId="PMCTableStyle2">
    <w:name w:val="PMC Table Style 2"/>
    <w:basedOn w:val="TableNormal"/>
    <w:uiPriority w:val="99"/>
    <w:rsid w:val="009571EB"/>
    <w:pPr>
      <w:spacing w:before="60" w:after="60" w:line="264" w:lineRule="auto"/>
    </w:pPr>
    <w:rPr>
      <w:color w:val="262626" w:themeColor="text1" w:themeTint="D9"/>
      <w:sz w:val="20"/>
      <w:szCs w:val="20"/>
    </w:rPr>
    <w:tblPr>
      <w:tblStyleRowBandSize w:val="1"/>
      <w:tblInd w:w="0" w:type="nil"/>
      <w:tblBorders>
        <w:top w:val="single" w:sz="4" w:space="0" w:color="E5E9F0" w:themeColor="accent1" w:themeTint="1A"/>
        <w:left w:val="single" w:sz="4" w:space="0" w:color="E5E9F0" w:themeColor="accent1" w:themeTint="1A"/>
        <w:bottom w:val="single" w:sz="12" w:space="0" w:color="EEEEEE" w:themeColor="text2" w:themeTint="1A"/>
        <w:right w:val="single" w:sz="4" w:space="0" w:color="E5E9F0" w:themeColor="accent1" w:themeTint="1A"/>
        <w:insideH w:val="single" w:sz="4" w:space="0" w:color="E5E9F0" w:themeColor="accent1" w:themeTint="1A"/>
        <w:insideV w:val="single" w:sz="4" w:space="0" w:color="E5E9F0" w:themeColor="accent1" w:themeTint="1A"/>
      </w:tblBorders>
      <w:tblCellMar>
        <w:left w:w="284" w:type="dxa"/>
        <w:right w:w="284" w:type="dxa"/>
      </w:tblCellMar>
    </w:tblPr>
    <w:tcPr>
      <w:shd w:val="clear" w:color="auto" w:fill="FFFFFF" w:themeFill="background1"/>
    </w:tcPr>
    <w:tblStylePr w:type="firstRow">
      <w:rPr>
        <w:rFonts w:asciiTheme="majorHAnsi" w:hAnsiTheme="majorHAnsi" w:hint="default"/>
        <w:b/>
        <w:color w:val="FFFFFF" w:themeColor="background1"/>
        <w:sz w:val="18"/>
        <w:szCs w:val="18"/>
      </w:rPr>
      <w:tblPr/>
      <w:tcPr>
        <w:shd w:val="clear" w:color="auto" w:fill="5F5F5F" w:themeFill="text2"/>
      </w:tcPr>
    </w:tblStylePr>
    <w:tblStylePr w:type="lastRow">
      <w:tblPr/>
      <w:tcPr>
        <w:shd w:val="clear" w:color="auto" w:fill="E6E6E6"/>
      </w:tcPr>
    </w:tblStylePr>
    <w:tblStylePr w:type="band2Horz">
      <w:rPr>
        <w:rFonts w:asciiTheme="minorHAnsi" w:hAnsiTheme="minorHAnsi" w:cs="Calibri" w:hint="default"/>
        <w:b w:val="0"/>
        <w:color w:val="262626" w:themeColor="text1" w:themeTint="D9"/>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3415">
      <w:bodyDiv w:val="1"/>
      <w:marLeft w:val="0"/>
      <w:marRight w:val="0"/>
      <w:marTop w:val="0"/>
      <w:marBottom w:val="0"/>
      <w:divBdr>
        <w:top w:val="none" w:sz="0" w:space="0" w:color="auto"/>
        <w:left w:val="none" w:sz="0" w:space="0" w:color="auto"/>
        <w:bottom w:val="none" w:sz="0" w:space="0" w:color="auto"/>
        <w:right w:val="none" w:sz="0" w:space="0" w:color="auto"/>
      </w:divBdr>
    </w:div>
    <w:div w:id="6812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2025-03-17T05:28:00Z</dcterms:created>
  <dcterms:modified xsi:type="dcterms:W3CDTF">2025-03-17T05:29:00Z</dcterms:modified>
</cp:coreProperties>
</file>