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A68" w:rsidRDefault="00B16B9C"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3245806" cy="37947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5806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A68" w:rsidRDefault="00513A68">
      <w:pPr>
        <w:pStyle w:val="BodyText"/>
        <w:ind w:left="0"/>
        <w:rPr>
          <w:rFonts w:ascii="Times New Roman"/>
        </w:rPr>
      </w:pPr>
    </w:p>
    <w:p w:rsidR="00513A68" w:rsidRDefault="00513A68">
      <w:pPr>
        <w:pStyle w:val="BodyText"/>
        <w:spacing w:before="154"/>
        <w:ind w:left="0"/>
        <w:rPr>
          <w:rFonts w:ascii="Times New Roman"/>
        </w:rPr>
      </w:pPr>
    </w:p>
    <w:p w:rsidR="00513A68" w:rsidRDefault="00B16B9C">
      <w:pPr>
        <w:pStyle w:val="Heading1"/>
        <w:spacing w:before="1"/>
        <w:ind w:right="112"/>
        <w:jc w:val="right"/>
      </w:pPr>
      <w:r>
        <w:t>Chair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rPr>
          <w:spacing w:val="-4"/>
        </w:rPr>
        <w:t>Head</w:t>
      </w:r>
    </w:p>
    <w:p w:rsidR="00513A68" w:rsidRDefault="00513A68">
      <w:pPr>
        <w:pStyle w:val="BodyText"/>
        <w:ind w:left="0"/>
        <w:rPr>
          <w:b/>
        </w:rPr>
      </w:pPr>
    </w:p>
    <w:p w:rsidR="00513A68" w:rsidRDefault="00513A68">
      <w:pPr>
        <w:pStyle w:val="BodyText"/>
        <w:ind w:left="0"/>
        <w:rPr>
          <w:b/>
        </w:rPr>
      </w:pPr>
    </w:p>
    <w:p w:rsidR="00513A68" w:rsidRDefault="00513A68">
      <w:pPr>
        <w:pStyle w:val="BodyText"/>
        <w:spacing w:before="5"/>
        <w:ind w:left="0"/>
        <w:rPr>
          <w:b/>
        </w:rPr>
      </w:pPr>
    </w:p>
    <w:p w:rsidR="00513A68" w:rsidRDefault="00B16B9C">
      <w:pPr>
        <w:pStyle w:val="BodyText"/>
        <w:spacing w:line="247" w:lineRule="auto"/>
        <w:ind w:right="7331"/>
      </w:pPr>
      <w:proofErr w:type="spellStart"/>
      <w:r>
        <w:t>Ms</w:t>
      </w:r>
      <w:proofErr w:type="spellEnd"/>
      <w:r>
        <w:t xml:space="preserve"> Joanna Abhayaratna Executive Director</w:t>
      </w:r>
      <w:r>
        <w:rPr>
          <w:spacing w:val="80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Impact</w:t>
      </w:r>
      <w:r>
        <w:rPr>
          <w:spacing w:val="-12"/>
        </w:rPr>
        <w:t xml:space="preserve"> </w:t>
      </w:r>
      <w:r>
        <w:t>Analysis</w:t>
      </w:r>
    </w:p>
    <w:p w:rsidR="00513A68" w:rsidRDefault="00B16B9C">
      <w:pPr>
        <w:pStyle w:val="BodyText"/>
        <w:spacing w:line="247" w:lineRule="auto"/>
        <w:ind w:right="5217"/>
      </w:pP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Prime</w:t>
      </w:r>
      <w:r>
        <w:rPr>
          <w:spacing w:val="-7"/>
        </w:rPr>
        <w:t xml:space="preserve"> </w:t>
      </w:r>
      <w:r>
        <w:t>Minister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Cabinet 1 National Circuit</w:t>
      </w:r>
    </w:p>
    <w:p w:rsidR="00513A68" w:rsidRDefault="00B16B9C">
      <w:pPr>
        <w:pStyle w:val="BodyText"/>
        <w:spacing w:line="253" w:lineRule="exact"/>
      </w:pPr>
      <w:r>
        <w:t>BARTON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rPr>
          <w:spacing w:val="-4"/>
        </w:rPr>
        <w:t>2600</w:t>
      </w:r>
    </w:p>
    <w:p w:rsidR="00513A68" w:rsidRDefault="00513A68">
      <w:pPr>
        <w:pStyle w:val="BodyText"/>
        <w:spacing w:before="13"/>
        <w:ind w:left="0"/>
      </w:pPr>
    </w:p>
    <w:p w:rsidR="00513A68" w:rsidRDefault="00B16B9C">
      <w:pPr>
        <w:pStyle w:val="BodyText"/>
        <w:spacing w:line="475" w:lineRule="auto"/>
        <w:ind w:right="5914"/>
      </w:pPr>
      <w:r>
        <w:t>Email:</w:t>
      </w:r>
      <w:r>
        <w:rPr>
          <w:spacing w:val="-16"/>
        </w:rPr>
        <w:t xml:space="preserve"> </w:t>
      </w:r>
      <w:hyperlink r:id="rId7">
        <w:r>
          <w:t>Helpdesk-OIA@pmc.gov.au</w:t>
        </w:r>
      </w:hyperlink>
      <w:r>
        <w:t xml:space="preserve"> Dear </w:t>
      </w:r>
      <w:proofErr w:type="spellStart"/>
      <w:r>
        <w:t>Ms</w:t>
      </w:r>
      <w:proofErr w:type="spellEnd"/>
      <w:r>
        <w:t xml:space="preserve"> Abhayaratna</w:t>
      </w:r>
    </w:p>
    <w:p w:rsidR="00513A68" w:rsidRDefault="00B16B9C">
      <w:pPr>
        <w:pStyle w:val="Heading1"/>
        <w:spacing w:line="247" w:lineRule="auto"/>
        <w:ind w:left="672"/>
      </w:pPr>
      <w:proofErr w:type="spellStart"/>
      <w:r>
        <w:t>Radiocommunications</w:t>
      </w:r>
      <w:proofErr w:type="spellEnd"/>
      <w:r>
        <w:t xml:space="preserve"> </w:t>
      </w:r>
      <w:proofErr w:type="spellStart"/>
      <w:r>
        <w:t>Licence</w:t>
      </w:r>
      <w:proofErr w:type="spellEnd"/>
      <w:r>
        <w:t xml:space="preserve"> Conditions (Temporary Community Broadcasting </w:t>
      </w:r>
      <w:proofErr w:type="spellStart"/>
      <w:r>
        <w:t>Licence</w:t>
      </w:r>
      <w:proofErr w:type="spellEnd"/>
      <w:r>
        <w:t>) Determination</w:t>
      </w:r>
      <w:r>
        <w:rPr>
          <w:spacing w:val="-4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Radiocommunications</w:t>
      </w:r>
      <w:proofErr w:type="spellEnd"/>
      <w:r>
        <w:rPr>
          <w:spacing w:val="-4"/>
        </w:rPr>
        <w:t xml:space="preserve"> </w:t>
      </w:r>
      <w:proofErr w:type="spellStart"/>
      <w:r>
        <w:t>Licence</w:t>
      </w:r>
      <w:proofErr w:type="spellEnd"/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(Broadcasting</w:t>
      </w:r>
      <w:r>
        <w:rPr>
          <w:spacing w:val="-7"/>
        </w:rPr>
        <w:t xml:space="preserve"> </w:t>
      </w:r>
      <w:proofErr w:type="spellStart"/>
      <w:r>
        <w:t>Licence</w:t>
      </w:r>
      <w:proofErr w:type="spellEnd"/>
      <w:r>
        <w:t>) Determination 2015</w:t>
      </w:r>
    </w:p>
    <w:p w:rsidR="00513A68" w:rsidRDefault="00B16B9C">
      <w:pPr>
        <w:spacing w:before="236" w:line="247" w:lineRule="auto"/>
        <w:ind w:left="672" w:right="154"/>
      </w:pPr>
      <w:r>
        <w:t>I am writing to the Office</w:t>
      </w:r>
      <w:r>
        <w:t xml:space="preserve"> of Impact Analysis (OIA) regarding the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Licence</w:t>
      </w:r>
      <w:proofErr w:type="spellEnd"/>
      <w:r>
        <w:rPr>
          <w:i/>
        </w:rPr>
        <w:t xml:space="preserve"> Conditions (Temporary Community Broadcasting </w:t>
      </w:r>
      <w:proofErr w:type="spellStart"/>
      <w:r>
        <w:rPr>
          <w:i/>
        </w:rPr>
        <w:t>Licence</w:t>
      </w:r>
      <w:proofErr w:type="spellEnd"/>
      <w:r>
        <w:rPr>
          <w:i/>
        </w:rPr>
        <w:t xml:space="preserve">) Determination 2015 </w:t>
      </w:r>
      <w:r>
        <w:t xml:space="preserve">and </w:t>
      </w:r>
      <w:proofErr w:type="spellStart"/>
      <w:r>
        <w:rPr>
          <w:i/>
        </w:rPr>
        <w:t>Radiocommunications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Licence</w:t>
      </w:r>
      <w:proofErr w:type="spellEnd"/>
      <w:r>
        <w:rPr>
          <w:i/>
        </w:rPr>
        <w:t xml:space="preserve"> Conditions (Broadcasting </w:t>
      </w:r>
      <w:proofErr w:type="spellStart"/>
      <w:r>
        <w:rPr>
          <w:i/>
        </w:rPr>
        <w:t>Licence</w:t>
      </w:r>
      <w:proofErr w:type="spellEnd"/>
      <w:r>
        <w:rPr>
          <w:i/>
        </w:rPr>
        <w:t xml:space="preserve">) Determination 2015 </w:t>
      </w:r>
      <w:r>
        <w:t>(together, the</w:t>
      </w:r>
      <w:r>
        <w:rPr>
          <w:spacing w:val="-2"/>
        </w:rPr>
        <w:t xml:space="preserve"> </w:t>
      </w:r>
      <w:r>
        <w:t>determinations), which,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i/>
        </w:rPr>
        <w:t>Legislation</w:t>
      </w:r>
      <w:r>
        <w:rPr>
          <w:i/>
          <w:spacing w:val="-4"/>
        </w:rPr>
        <w:t xml:space="preserve"> </w:t>
      </w:r>
      <w:r>
        <w:rPr>
          <w:i/>
        </w:rPr>
        <w:t>Act 2003</w:t>
      </w:r>
      <w:r>
        <w:t>, 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sunset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1 April 2025 and the 1 October 2025 respectively.</w:t>
      </w:r>
    </w:p>
    <w:p w:rsidR="00513A68" w:rsidRDefault="00B16B9C">
      <w:pPr>
        <w:pStyle w:val="BodyText"/>
        <w:spacing w:before="118" w:line="244" w:lineRule="auto"/>
      </w:pPr>
      <w:r>
        <w:t>The</w:t>
      </w:r>
      <w:r>
        <w:rPr>
          <w:spacing w:val="-2"/>
        </w:rPr>
        <w:t xml:space="preserve"> </w:t>
      </w:r>
      <w:r>
        <w:t>ACMA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decided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remake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determinations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combine</w:t>
      </w:r>
      <w:r>
        <w:rPr>
          <w:spacing w:val="-4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instrument. The instrument will</w:t>
      </w:r>
      <w:r>
        <w:t xml:space="preserve"> otherwise be remade with only minor changes.</w:t>
      </w:r>
    </w:p>
    <w:p w:rsidR="00513A68" w:rsidRDefault="00B16B9C">
      <w:pPr>
        <w:pStyle w:val="BodyText"/>
        <w:spacing w:before="125" w:line="247" w:lineRule="auto"/>
        <w:ind w:right="154"/>
      </w:pPr>
      <w:r>
        <w:t>The ACMA certifies that the determinations are</w:t>
      </w:r>
      <w:r>
        <w:rPr>
          <w:spacing w:val="-2"/>
        </w:rPr>
        <w:t xml:space="preserve"> </w:t>
      </w:r>
      <w:r>
        <w:t>operating effectively and</w:t>
      </w:r>
      <w:r>
        <w:rPr>
          <w:spacing w:val="-2"/>
        </w:rPr>
        <w:t xml:space="preserve"> </w:t>
      </w:r>
      <w:r>
        <w:t>efficiently and therefore Impact Analysis is not required for this legislation to be remade. The assessment that the legislation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effectively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efficiently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 public</w:t>
      </w:r>
      <w:r>
        <w:rPr>
          <w:spacing w:val="-2"/>
        </w:rPr>
        <w:t xml:space="preserve"> </w:t>
      </w:r>
      <w:r>
        <w:t>consultation,</w:t>
      </w:r>
      <w:r>
        <w:rPr>
          <w:spacing w:val="-3"/>
        </w:rPr>
        <w:t xml:space="preserve"> </w:t>
      </w:r>
      <w:r>
        <w:t>over the period 19 December 2024 to 14 January 2025.</w:t>
      </w:r>
    </w:p>
    <w:p w:rsidR="00513A68" w:rsidRDefault="00B16B9C">
      <w:pPr>
        <w:pStyle w:val="BodyText"/>
        <w:spacing w:before="117" w:line="247" w:lineRule="auto"/>
      </w:pPr>
      <w:r>
        <w:t xml:space="preserve">I also note that the regulatory burden to people, business or community </w:t>
      </w:r>
      <w:proofErr w:type="spellStart"/>
      <w:r>
        <w:t>organisations</w:t>
      </w:r>
      <w:proofErr w:type="spellEnd"/>
      <w:r>
        <w:t xml:space="preserve"> has been quantified</w:t>
      </w:r>
      <w:r>
        <w:rPr>
          <w:spacing w:val="-4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Australian</w:t>
      </w:r>
      <w:r>
        <w:rPr>
          <w:spacing w:val="-4"/>
        </w:rPr>
        <w:t xml:space="preserve"> </w:t>
      </w:r>
      <w:r>
        <w:t>Government’s</w:t>
      </w:r>
      <w:r>
        <w:rPr>
          <w:spacing w:val="-3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Burden</w:t>
      </w:r>
      <w:r>
        <w:rPr>
          <w:spacing w:val="-2"/>
        </w:rPr>
        <w:t xml:space="preserve"> </w:t>
      </w:r>
      <w:r>
        <w:t>Measurement</w:t>
      </w:r>
      <w:r>
        <w:rPr>
          <w:spacing w:val="-5"/>
        </w:rPr>
        <w:t xml:space="preserve"> </w:t>
      </w:r>
      <w:r>
        <w:t>framework.</w:t>
      </w:r>
      <w:r>
        <w:rPr>
          <w:spacing w:val="-5"/>
        </w:rPr>
        <w:t xml:space="preserve"> </w:t>
      </w:r>
      <w:r>
        <w:t>These are provided below.</w:t>
      </w:r>
    </w:p>
    <w:p w:rsidR="00513A68" w:rsidRDefault="00B16B9C">
      <w:pPr>
        <w:pStyle w:val="BodyText"/>
        <w:spacing w:before="118"/>
      </w:pPr>
      <w:r>
        <w:t>Average</w:t>
      </w:r>
      <w:r>
        <w:rPr>
          <w:spacing w:val="-7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costs</w:t>
      </w:r>
      <w:r>
        <w:rPr>
          <w:spacing w:val="-8"/>
        </w:rPr>
        <w:t xml:space="preserve"> </w:t>
      </w:r>
      <w:r>
        <w:t>(from</w:t>
      </w:r>
      <w:r>
        <w:rPr>
          <w:spacing w:val="-5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2"/>
        </w:rPr>
        <w:t>usual)</w:t>
      </w:r>
    </w:p>
    <w:p w:rsidR="00513A68" w:rsidRDefault="00513A68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2"/>
        <w:gridCol w:w="1659"/>
        <w:gridCol w:w="1928"/>
        <w:gridCol w:w="1925"/>
        <w:gridCol w:w="1928"/>
      </w:tblGrid>
      <w:tr w:rsidR="00513A68">
        <w:trPr>
          <w:trHeight w:val="640"/>
        </w:trPr>
        <w:tc>
          <w:tcPr>
            <w:tcW w:w="2192" w:type="dxa"/>
          </w:tcPr>
          <w:p w:rsidR="00513A68" w:rsidRDefault="00B16B9C">
            <w:pPr>
              <w:pStyle w:val="TableParagraph"/>
              <w:spacing w:before="9" w:line="244" w:lineRule="auto"/>
              <w:ind w:left="110"/>
              <w:rPr>
                <w:b/>
              </w:rPr>
            </w:pPr>
            <w:r>
              <w:rPr>
                <w:b/>
              </w:rPr>
              <w:t>Change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costs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($ </w:t>
            </w:r>
            <w:r>
              <w:rPr>
                <w:b/>
                <w:spacing w:val="-2"/>
              </w:rPr>
              <w:t>million)</w:t>
            </w:r>
          </w:p>
        </w:tc>
        <w:tc>
          <w:tcPr>
            <w:tcW w:w="1659" w:type="dxa"/>
          </w:tcPr>
          <w:p w:rsidR="00513A68" w:rsidRDefault="00B16B9C">
            <w:pPr>
              <w:pStyle w:val="TableParagraph"/>
              <w:spacing w:before="9"/>
              <w:ind w:left="107"/>
              <w:rPr>
                <w:b/>
              </w:rPr>
            </w:pPr>
            <w:r>
              <w:rPr>
                <w:b/>
                <w:spacing w:val="-2"/>
              </w:rPr>
              <w:t>Business</w:t>
            </w:r>
          </w:p>
        </w:tc>
        <w:tc>
          <w:tcPr>
            <w:tcW w:w="1928" w:type="dxa"/>
          </w:tcPr>
          <w:p w:rsidR="00513A68" w:rsidRDefault="00B16B9C">
            <w:pPr>
              <w:pStyle w:val="TableParagraph"/>
              <w:spacing w:before="9" w:line="244" w:lineRule="auto"/>
              <w:rPr>
                <w:b/>
              </w:rPr>
            </w:pPr>
            <w:r>
              <w:rPr>
                <w:b/>
                <w:spacing w:val="-2"/>
              </w:rPr>
              <w:t xml:space="preserve">Community </w:t>
            </w:r>
            <w:proofErr w:type="spellStart"/>
            <w:r>
              <w:rPr>
                <w:b/>
                <w:spacing w:val="-2"/>
              </w:rPr>
              <w:t>organisations</w:t>
            </w:r>
            <w:proofErr w:type="spellEnd"/>
          </w:p>
        </w:tc>
        <w:tc>
          <w:tcPr>
            <w:tcW w:w="1925" w:type="dxa"/>
          </w:tcPr>
          <w:p w:rsidR="00513A68" w:rsidRDefault="00B16B9C">
            <w:pPr>
              <w:pStyle w:val="TableParagraph"/>
              <w:spacing w:before="9"/>
              <w:ind w:left="106"/>
              <w:rPr>
                <w:b/>
              </w:rPr>
            </w:pPr>
            <w:r>
              <w:rPr>
                <w:b/>
                <w:spacing w:val="-2"/>
              </w:rPr>
              <w:t>People</w:t>
            </w:r>
          </w:p>
        </w:tc>
        <w:tc>
          <w:tcPr>
            <w:tcW w:w="1928" w:type="dxa"/>
          </w:tcPr>
          <w:p w:rsidR="00513A68" w:rsidRDefault="00B16B9C">
            <w:pPr>
              <w:pStyle w:val="TableParagraph"/>
              <w:spacing w:before="9" w:line="244" w:lineRule="auto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change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in </w:t>
            </w:r>
            <w:r>
              <w:rPr>
                <w:b/>
                <w:spacing w:val="-2"/>
              </w:rPr>
              <w:t>costs</w:t>
            </w:r>
          </w:p>
        </w:tc>
      </w:tr>
      <w:tr w:rsidR="00513A68">
        <w:trPr>
          <w:trHeight w:val="381"/>
        </w:trPr>
        <w:tc>
          <w:tcPr>
            <w:tcW w:w="2192" w:type="dxa"/>
          </w:tcPr>
          <w:p w:rsidR="00513A68" w:rsidRDefault="00B16B9C">
            <w:pPr>
              <w:pStyle w:val="TableParagraph"/>
              <w:ind w:left="110"/>
            </w:pPr>
            <w:r>
              <w:t>Total,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sector</w:t>
            </w:r>
          </w:p>
        </w:tc>
        <w:tc>
          <w:tcPr>
            <w:tcW w:w="1659" w:type="dxa"/>
          </w:tcPr>
          <w:p w:rsidR="00513A68" w:rsidRDefault="00B16B9C">
            <w:pPr>
              <w:pStyle w:val="TableParagraph"/>
              <w:ind w:left="107"/>
            </w:pPr>
            <w:r>
              <w:rPr>
                <w:spacing w:val="-5"/>
              </w:rPr>
              <w:t>$0</w:t>
            </w:r>
          </w:p>
        </w:tc>
        <w:tc>
          <w:tcPr>
            <w:tcW w:w="1928" w:type="dxa"/>
          </w:tcPr>
          <w:p w:rsidR="00513A68" w:rsidRDefault="00B16B9C">
            <w:pPr>
              <w:pStyle w:val="TableParagraph"/>
            </w:pPr>
            <w:r>
              <w:rPr>
                <w:spacing w:val="-5"/>
              </w:rPr>
              <w:t>$0</w:t>
            </w:r>
          </w:p>
        </w:tc>
        <w:tc>
          <w:tcPr>
            <w:tcW w:w="1925" w:type="dxa"/>
          </w:tcPr>
          <w:p w:rsidR="00513A68" w:rsidRDefault="00B16B9C">
            <w:pPr>
              <w:pStyle w:val="TableParagraph"/>
              <w:ind w:left="106"/>
            </w:pPr>
            <w:r>
              <w:rPr>
                <w:spacing w:val="-5"/>
              </w:rPr>
              <w:t>$0</w:t>
            </w:r>
          </w:p>
        </w:tc>
        <w:tc>
          <w:tcPr>
            <w:tcW w:w="1928" w:type="dxa"/>
          </w:tcPr>
          <w:p w:rsidR="00513A68" w:rsidRDefault="00B16B9C">
            <w:pPr>
              <w:pStyle w:val="TableParagraph"/>
            </w:pPr>
            <w:r>
              <w:rPr>
                <w:spacing w:val="-5"/>
              </w:rPr>
              <w:t>$0</w:t>
            </w:r>
          </w:p>
        </w:tc>
      </w:tr>
    </w:tbl>
    <w:p w:rsidR="00513A68" w:rsidRDefault="00B16B9C">
      <w:pPr>
        <w:pStyle w:val="BodyText"/>
        <w:spacing w:before="48"/>
      </w:pPr>
      <w:r>
        <w:t>I</w:t>
      </w:r>
      <w:r>
        <w:rPr>
          <w:spacing w:val="-3"/>
        </w:rPr>
        <w:t xml:space="preserve"> </w:t>
      </w:r>
      <w:r>
        <w:t>acknowledge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OIA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publish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transparency</w:t>
      </w:r>
      <w:r>
        <w:rPr>
          <w:spacing w:val="-6"/>
        </w:rPr>
        <w:t xml:space="preserve"> </w:t>
      </w:r>
      <w:r>
        <w:rPr>
          <w:spacing w:val="-2"/>
        </w:rPr>
        <w:t>purposes.</w:t>
      </w:r>
    </w:p>
    <w:p w:rsidR="00513A68" w:rsidRDefault="00B16B9C">
      <w:pPr>
        <w:pStyle w:val="BodyText"/>
        <w:spacing w:before="127" w:line="244" w:lineRule="auto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queries</w:t>
      </w:r>
      <w:r>
        <w:rPr>
          <w:spacing w:val="-6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advice, please</w:t>
      </w:r>
      <w:r>
        <w:rPr>
          <w:spacing w:val="-4"/>
        </w:rPr>
        <w:t xml:space="preserve"> </w:t>
      </w:r>
      <w:r>
        <w:t>contact Alex</w:t>
      </w:r>
      <w:r>
        <w:rPr>
          <w:spacing w:val="-4"/>
        </w:rPr>
        <w:t xml:space="preserve"> </w:t>
      </w:r>
      <w:proofErr w:type="spellStart"/>
      <w:r>
        <w:t>Kostic</w:t>
      </w:r>
      <w:proofErr w:type="spellEnd"/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02</w:t>
      </w:r>
      <w:r>
        <w:rPr>
          <w:spacing w:val="-2"/>
        </w:rPr>
        <w:t xml:space="preserve"> </w:t>
      </w:r>
      <w:r>
        <w:t>9334</w:t>
      </w:r>
      <w:r>
        <w:rPr>
          <w:spacing w:val="-2"/>
        </w:rPr>
        <w:t xml:space="preserve"> </w:t>
      </w:r>
      <w:r>
        <w:t xml:space="preserve">7784, or </w:t>
      </w:r>
      <w:hyperlink r:id="rId8">
        <w:r>
          <w:rPr>
            <w:color w:val="0000FF"/>
            <w:spacing w:val="-2"/>
            <w:u w:val="single" w:color="0000FF"/>
          </w:rPr>
          <w:t>alex.kostic@acma.gov.au</w:t>
        </w:r>
      </w:hyperlink>
      <w:r>
        <w:rPr>
          <w:spacing w:val="-2"/>
        </w:rPr>
        <w:t>.</w:t>
      </w:r>
    </w:p>
    <w:p w:rsidR="00513A68" w:rsidRDefault="00B16B9C">
      <w:pPr>
        <w:pStyle w:val="BodyText"/>
        <w:spacing w:before="244"/>
      </w:pPr>
      <w:r>
        <w:t>Yours</w:t>
      </w:r>
      <w:r>
        <w:rPr>
          <w:spacing w:val="-2"/>
        </w:rPr>
        <w:t xml:space="preserve"> sincerely</w:t>
      </w:r>
    </w:p>
    <w:p w:rsidR="00513A68" w:rsidRDefault="00513A68">
      <w:pPr>
        <w:pStyle w:val="BodyText"/>
        <w:ind w:left="0"/>
      </w:pPr>
    </w:p>
    <w:p w:rsidR="00513A68" w:rsidRDefault="00513A68">
      <w:pPr>
        <w:pStyle w:val="BodyText"/>
        <w:spacing w:before="221"/>
        <w:ind w:left="0"/>
      </w:pPr>
    </w:p>
    <w:p w:rsidR="00513A68" w:rsidRDefault="00B16B9C">
      <w:pPr>
        <w:pStyle w:val="BodyText"/>
        <w:spacing w:line="244" w:lineRule="auto"/>
        <w:ind w:left="1102" w:right="7331" w:hanging="431"/>
      </w:pPr>
      <w:proofErr w:type="spellStart"/>
      <w:r>
        <w:t>Nerida</w:t>
      </w:r>
      <w:proofErr w:type="spellEnd"/>
      <w:r>
        <w:rPr>
          <w:spacing w:val="-16"/>
        </w:rPr>
        <w:t xml:space="preserve"> </w:t>
      </w:r>
      <w:r>
        <w:t>O’Loughlin</w:t>
      </w:r>
      <w:r>
        <w:rPr>
          <w:spacing w:val="-15"/>
        </w:rPr>
        <w:t xml:space="preserve"> </w:t>
      </w:r>
      <w:r>
        <w:t xml:space="preserve">PSM </w:t>
      </w:r>
      <w:bookmarkStart w:id="0" w:name="_GoBack"/>
      <w:bookmarkEnd w:id="0"/>
      <w:r>
        <w:t>March 2025</w:t>
      </w:r>
    </w:p>
    <w:sectPr w:rsidR="00513A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80" w:right="1020" w:bottom="1060" w:left="460" w:header="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6B9C">
      <w:r>
        <w:separator/>
      </w:r>
    </w:p>
  </w:endnote>
  <w:endnote w:type="continuationSeparator" w:id="0">
    <w:p w:rsidR="00000000" w:rsidRDefault="00B1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0C" w:rsidRDefault="00D43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68" w:rsidRDefault="00B16B9C">
    <w:pPr>
      <w:pStyle w:val="BodyText"/>
      <w:spacing w:line="14" w:lineRule="auto"/>
      <w:ind w:left="0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538688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9973588</wp:posOffset>
              </wp:positionV>
              <wp:extent cx="6791325" cy="139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91325" cy="139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91325" h="13970">
                            <a:moveTo>
                              <a:pt x="0" y="0"/>
                            </a:moveTo>
                            <a:lnTo>
                              <a:pt x="6791325" y="13969"/>
                            </a:lnTo>
                          </a:path>
                        </a:pathLst>
                      </a:custGeom>
                      <a:ln w="1269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51E59" id="Graphic 1" o:spid="_x0000_s1026" style="position:absolute;margin-left:28.5pt;margin-top:785.3pt;width:534.75pt;height:1.1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91325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" path="m,l6791325,13969e" filled="f" strokeweight=".35275mm">
              <v:path arrowok="t"/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0" distR="0" simplePos="0" relativeHeight="487539200" behindDoc="1" locked="0" layoutInCell="1" allowOverlap="1">
              <wp:simplePos x="0" y="0"/>
              <wp:positionH relativeFrom="page">
                <wp:posOffset>2393950</wp:posOffset>
              </wp:positionH>
              <wp:positionV relativeFrom="page">
                <wp:posOffset>10170152</wp:posOffset>
              </wp:positionV>
              <wp:extent cx="2769870" cy="3194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69870" cy="3194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3A68" w:rsidRDefault="00B16B9C">
                          <w:pPr>
                            <w:spacing w:before="12" w:line="249" w:lineRule="auto"/>
                            <w:ind w:left="20" w:right="18" w:firstLine="67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PO Box 78,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Belconnen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ACT 2616 </w:t>
                          </w:r>
                          <w:hyperlink r:id="rId1">
                            <w:r>
                              <w:rPr>
                                <w:sz w:val="20"/>
                              </w:rPr>
                              <w:t>OfficeoftheChair@acma.gov.au</w:t>
                            </w:r>
                          </w:hyperlink>
                          <w:r>
                            <w:rPr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|</w:t>
                          </w:r>
                          <w:r>
                            <w:rPr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acma.gov.au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8.5pt;margin-top:800.8pt;width:218.1pt;height:25.15pt;z-index:-1577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" filled="f" stroked="f">
              <v:path arrowok="t"/>
              <v:textbox inset="0,0,0,0">
                <w:txbxContent>
                  <w:p w:rsidR="00513A68" w:rsidRDefault="00B16B9C">
                    <w:pPr>
                      <w:spacing w:before="12" w:line="249" w:lineRule="auto"/>
                      <w:ind w:left="20" w:right="18" w:firstLine="67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PO Box 78, </w:t>
                    </w:r>
                    <w:proofErr w:type="spellStart"/>
                    <w:r>
                      <w:rPr>
                        <w:sz w:val="20"/>
                      </w:rPr>
                      <w:t>Belconnen</w:t>
                    </w:r>
                    <w:proofErr w:type="spellEnd"/>
                    <w:r>
                      <w:rPr>
                        <w:sz w:val="20"/>
                      </w:rPr>
                      <w:t xml:space="preserve"> ACT 2616 </w:t>
                    </w:r>
                    <w:hyperlink r:id="rId2">
                      <w:r>
                        <w:rPr>
                          <w:sz w:val="20"/>
                        </w:rPr>
                        <w:t>OfficeoftheChair@acma.gov.au</w:t>
                      </w:r>
                    </w:hyperlink>
                    <w:r>
                      <w:rPr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|</w:t>
                    </w:r>
                    <w:r>
                      <w:rPr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acma.gov.au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0C" w:rsidRDefault="00D43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6B9C">
      <w:r>
        <w:separator/>
      </w:r>
    </w:p>
  </w:footnote>
  <w:footnote w:type="continuationSeparator" w:id="0">
    <w:p w:rsidR="00000000" w:rsidRDefault="00B16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0C" w:rsidRDefault="00D43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0C" w:rsidRDefault="00D43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0C" w:rsidRDefault="00D43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13A68"/>
    <w:rsid w:val="00513A68"/>
    <w:rsid w:val="00B16B9C"/>
    <w:rsid w:val="00D4350C"/>
    <w:rsid w:val="00D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7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109"/>
    </w:pPr>
  </w:style>
  <w:style w:type="paragraph" w:styleId="Header">
    <w:name w:val="header"/>
    <w:basedOn w:val="Normal"/>
    <w:link w:val="HeaderChar"/>
    <w:uiPriority w:val="99"/>
    <w:unhideWhenUsed/>
    <w:rsid w:val="00D435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50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435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5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.kostic@acma.gov.a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Helpdesk-OIA@pmc.gov.a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oftheChair@acma.gov.au" TargetMode="External"/><Relationship Id="rId1" Type="http://schemas.openxmlformats.org/officeDocument/2006/relationships/hyperlink" Target="mailto:OfficeoftheChair@acm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2025-03-26T05:09:00Z</dcterms:created>
  <dcterms:modified xsi:type="dcterms:W3CDTF">2025-03-26T05:10:00Z</dcterms:modified>
</cp:coreProperties>
</file>